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 xml:space="preserve">Burmistrz Krosna Odrzańskiego ogłasza </w:t>
      </w:r>
      <w:r w:rsidR="001F1792">
        <w:rPr>
          <w:rFonts w:ascii="Arial" w:hAnsi="Arial" w:cs="Arial"/>
          <w:sz w:val="20"/>
          <w:szCs w:val="20"/>
        </w:rPr>
        <w:t>pierwszy</w:t>
      </w:r>
      <w:r>
        <w:rPr>
          <w:rFonts w:ascii="Arial" w:hAnsi="Arial" w:cs="Arial"/>
          <w:sz w:val="20"/>
          <w:szCs w:val="20"/>
        </w:rPr>
        <w:t xml:space="preserve"> ustny przetarg nieograniczony na sprzedaż nieruchomości niezabudowanej oznaczonej jako działka o numerze ewidencyjnym </w:t>
      </w:r>
      <w:r w:rsidR="001F1792">
        <w:rPr>
          <w:rFonts w:ascii="Arial" w:hAnsi="Arial" w:cs="Arial"/>
          <w:sz w:val="20"/>
          <w:szCs w:val="20"/>
        </w:rPr>
        <w:t>1199</w:t>
      </w:r>
      <w:r>
        <w:rPr>
          <w:rFonts w:ascii="Arial" w:hAnsi="Arial" w:cs="Arial"/>
          <w:sz w:val="20"/>
          <w:szCs w:val="20"/>
        </w:rPr>
        <w:t xml:space="preserve">, stanowiącej własność gminy Krosno Odrzańskie, położonej w </w:t>
      </w:r>
      <w:r w:rsidR="00C37631">
        <w:rPr>
          <w:rFonts w:ascii="Arial" w:hAnsi="Arial" w:cs="Arial"/>
          <w:sz w:val="20"/>
          <w:szCs w:val="20"/>
        </w:rPr>
        <w:t>mieście</w:t>
      </w:r>
      <w:r>
        <w:rPr>
          <w:rFonts w:ascii="Arial" w:hAnsi="Arial" w:cs="Arial"/>
          <w:sz w:val="20"/>
          <w:szCs w:val="20"/>
        </w:rPr>
        <w:t xml:space="preserve"> Krosno Odrzańskie.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 xml:space="preserve">Nieruchomość gruntowa niezabudowana oznaczona działką nr </w:t>
      </w:r>
      <w:r w:rsidR="001F1792">
        <w:rPr>
          <w:rFonts w:ascii="Arial" w:hAnsi="Arial" w:cs="Arial"/>
          <w:sz w:val="20"/>
          <w:szCs w:val="20"/>
        </w:rPr>
        <w:t>1199</w:t>
      </w:r>
      <w:r>
        <w:rPr>
          <w:rFonts w:ascii="Arial" w:hAnsi="Arial" w:cs="Arial"/>
          <w:sz w:val="20"/>
          <w:szCs w:val="20"/>
        </w:rPr>
        <w:t xml:space="preserve"> o powierzchni </w:t>
      </w:r>
      <w:r w:rsidR="001F1792">
        <w:rPr>
          <w:rFonts w:ascii="Arial" w:hAnsi="Arial" w:cs="Arial"/>
          <w:sz w:val="20"/>
          <w:szCs w:val="20"/>
        </w:rPr>
        <w:t>105 m² położna w </w:t>
      </w:r>
      <w:r>
        <w:rPr>
          <w:rFonts w:ascii="Arial" w:hAnsi="Arial" w:cs="Arial"/>
          <w:sz w:val="20"/>
          <w:szCs w:val="20"/>
        </w:rPr>
        <w:t>miejscowości Krosno Odrzańskie. Działka o regularnym kształcie. Rzeźba terenu zróżnicowana. Dojazd do działki drogą publiczną. Działka nie jest uzbrojona, w pobliżu przebiegają si</w:t>
      </w:r>
      <w:r w:rsidR="001F1792">
        <w:rPr>
          <w:rFonts w:ascii="Arial" w:hAnsi="Arial" w:cs="Arial"/>
          <w:sz w:val="20"/>
          <w:szCs w:val="20"/>
        </w:rPr>
        <w:t>eci: wodociągowa, kanalizacyjna i</w:t>
      </w:r>
      <w:r>
        <w:rPr>
          <w:rFonts w:ascii="Arial" w:hAnsi="Arial" w:cs="Arial"/>
          <w:sz w:val="20"/>
          <w:szCs w:val="20"/>
        </w:rPr>
        <w:t xml:space="preserve"> elektroen</w:t>
      </w:r>
      <w:r w:rsidR="002D0A40">
        <w:rPr>
          <w:rFonts w:ascii="Arial" w:hAnsi="Arial" w:cs="Arial"/>
          <w:sz w:val="20"/>
          <w:szCs w:val="20"/>
        </w:rPr>
        <w:t xml:space="preserve">ergetyczna. </w:t>
      </w:r>
      <w:r w:rsidR="001F1792">
        <w:rPr>
          <w:rFonts w:ascii="Arial" w:hAnsi="Arial" w:cs="Arial"/>
          <w:sz w:val="20"/>
          <w:szCs w:val="20"/>
        </w:rPr>
        <w:t>Zgodnie ze studium uwarunkowań i kierunków zagospodarowania przestrzennego gminy działka położona jest na obszarze oznaczonym symbolem M</w:t>
      </w:r>
      <w:r w:rsidR="001F1792">
        <w:rPr>
          <w:rFonts w:ascii="Arial" w:hAnsi="Arial" w:cs="Arial"/>
          <w:sz w:val="20"/>
          <w:szCs w:val="20"/>
        </w:rPr>
        <w:t>W</w:t>
      </w:r>
      <w:r w:rsidR="001F1792">
        <w:rPr>
          <w:rFonts w:ascii="Arial" w:hAnsi="Arial" w:cs="Arial"/>
          <w:sz w:val="20"/>
          <w:szCs w:val="20"/>
        </w:rPr>
        <w:t>U</w:t>
      </w:r>
      <w:r w:rsidR="001F1792">
        <w:rPr>
          <w:rFonts w:ascii="Arial" w:hAnsi="Arial" w:cs="Arial"/>
          <w:sz w:val="20"/>
          <w:szCs w:val="20"/>
        </w:rPr>
        <w:t>1</w:t>
      </w:r>
      <w:r w:rsidR="001F1792">
        <w:rPr>
          <w:rFonts w:ascii="Arial" w:hAnsi="Arial" w:cs="Arial"/>
          <w:sz w:val="20"/>
          <w:szCs w:val="20"/>
        </w:rPr>
        <w:t xml:space="preserve"> – </w:t>
      </w:r>
      <w:r w:rsidR="001F1792">
        <w:rPr>
          <w:rFonts w:ascii="Arial" w:hAnsi="Arial" w:cs="Arial"/>
          <w:sz w:val="20"/>
          <w:szCs w:val="20"/>
        </w:rPr>
        <w:t xml:space="preserve">tereny </w:t>
      </w:r>
      <w:r w:rsidR="001F1792">
        <w:rPr>
          <w:rFonts w:ascii="Arial" w:hAnsi="Arial" w:cs="Arial"/>
          <w:sz w:val="20"/>
          <w:szCs w:val="20"/>
        </w:rPr>
        <w:t>zabudowy</w:t>
      </w:r>
      <w:r w:rsidR="001F1792">
        <w:rPr>
          <w:rFonts w:ascii="Arial" w:hAnsi="Arial" w:cs="Arial"/>
          <w:sz w:val="20"/>
          <w:szCs w:val="20"/>
        </w:rPr>
        <w:t xml:space="preserve"> mieszkaniowej wielorodzinnej i usługowej</w:t>
      </w:r>
      <w:r w:rsidR="001F1792">
        <w:rPr>
          <w:rFonts w:ascii="Arial" w:hAnsi="Arial" w:cs="Arial"/>
          <w:sz w:val="20"/>
          <w:szCs w:val="20"/>
        </w:rPr>
        <w:t>.</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w:t>
      </w:r>
      <w:r w:rsidR="001F1792">
        <w:rPr>
          <w:rFonts w:ascii="Arial" w:hAnsi="Arial" w:cs="Arial"/>
          <w:sz w:val="20"/>
          <w:szCs w:val="20"/>
        </w:rPr>
        <w:t>13864/0</w:t>
      </w:r>
      <w:r>
        <w:rPr>
          <w:rFonts w:ascii="Arial" w:hAnsi="Arial" w:cs="Arial"/>
          <w:sz w:val="20"/>
          <w:szCs w:val="20"/>
        </w:rPr>
        <w:t>.</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1F1792" w:rsidP="006E1A5B">
            <w:pPr>
              <w:spacing w:after="0" w:line="240" w:lineRule="auto"/>
              <w:jc w:val="both"/>
              <w:rPr>
                <w:rFonts w:ascii="Arial" w:hAnsi="Arial" w:cs="Arial"/>
                <w:sz w:val="20"/>
                <w:szCs w:val="20"/>
              </w:rPr>
            </w:pPr>
            <w:r>
              <w:rPr>
                <w:rFonts w:ascii="Arial" w:hAnsi="Arial" w:cs="Arial"/>
                <w:sz w:val="20"/>
                <w:szCs w:val="20"/>
              </w:rPr>
              <w:t>1199</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1F1792" w:rsidP="001F0A95">
            <w:pPr>
              <w:spacing w:after="0" w:line="240" w:lineRule="auto"/>
              <w:jc w:val="center"/>
              <w:rPr>
                <w:rFonts w:ascii="Arial" w:hAnsi="Arial" w:cs="Arial"/>
                <w:sz w:val="20"/>
                <w:szCs w:val="20"/>
              </w:rPr>
            </w:pPr>
            <w:r>
              <w:rPr>
                <w:rFonts w:ascii="Arial" w:hAnsi="Arial" w:cs="Arial"/>
                <w:sz w:val="20"/>
                <w:szCs w:val="20"/>
              </w:rPr>
              <w:t>105</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1F1792" w:rsidP="00B10679">
            <w:pPr>
              <w:spacing w:after="0" w:line="240" w:lineRule="auto"/>
              <w:jc w:val="center"/>
              <w:rPr>
                <w:rFonts w:ascii="Arial" w:hAnsi="Arial" w:cs="Arial"/>
                <w:sz w:val="20"/>
                <w:szCs w:val="20"/>
              </w:rPr>
            </w:pPr>
            <w:r>
              <w:rPr>
                <w:rFonts w:ascii="Arial" w:hAnsi="Arial" w:cs="Arial"/>
                <w:sz w:val="20"/>
                <w:szCs w:val="20"/>
              </w:rPr>
              <w:t>14 500</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1F1792" w:rsidP="00B10679">
            <w:pPr>
              <w:spacing w:after="0" w:line="240" w:lineRule="auto"/>
              <w:jc w:val="center"/>
              <w:rPr>
                <w:rFonts w:ascii="Arial" w:hAnsi="Arial" w:cs="Arial"/>
                <w:sz w:val="20"/>
                <w:szCs w:val="20"/>
              </w:rPr>
            </w:pPr>
            <w:r>
              <w:rPr>
                <w:rFonts w:ascii="Arial" w:hAnsi="Arial" w:cs="Arial"/>
                <w:sz w:val="20"/>
                <w:szCs w:val="20"/>
              </w:rPr>
              <w:t>1</w:t>
            </w:r>
            <w:r w:rsidR="00F13DB0">
              <w:rPr>
                <w:rFonts w:ascii="Arial" w:hAnsi="Arial" w:cs="Arial"/>
                <w:sz w:val="20"/>
                <w:szCs w:val="20"/>
              </w:rPr>
              <w:t xml:space="preserve"> 5</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1F1792">
            <w:pPr>
              <w:spacing w:after="0" w:line="240" w:lineRule="auto"/>
              <w:jc w:val="center"/>
              <w:rPr>
                <w:rFonts w:ascii="Arial" w:hAnsi="Arial" w:cs="Arial"/>
                <w:sz w:val="20"/>
                <w:szCs w:val="20"/>
              </w:rPr>
            </w:pPr>
            <w:r>
              <w:rPr>
                <w:rFonts w:ascii="Arial" w:hAnsi="Arial" w:cs="Arial"/>
                <w:sz w:val="20"/>
                <w:szCs w:val="20"/>
              </w:rPr>
              <w:t>2</w:t>
            </w:r>
            <w:r w:rsidR="00CE69A6">
              <w:rPr>
                <w:rFonts w:ascii="Arial" w:hAnsi="Arial" w:cs="Arial"/>
                <w:sz w:val="20"/>
                <w:szCs w:val="20"/>
              </w:rPr>
              <w:t>00,00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2D0A40" w:rsidRPr="002D0A40" w:rsidRDefault="00CE69A6" w:rsidP="002D0A40">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1F1792" w:rsidRDefault="001F1792" w:rsidP="00CE69A6">
      <w:pPr>
        <w:pStyle w:val="Akapitzlist"/>
        <w:ind w:left="0"/>
        <w:jc w:val="both"/>
        <w:rPr>
          <w:rFonts w:ascii="Arial" w:hAnsi="Arial" w:cs="Arial"/>
          <w:b/>
          <w:sz w:val="20"/>
          <w:szCs w:val="20"/>
        </w:rPr>
      </w:pPr>
    </w:p>
    <w:p w:rsidR="001F1792" w:rsidRDefault="001F1792" w:rsidP="00CE69A6">
      <w:pPr>
        <w:pStyle w:val="Akapitzlist"/>
        <w:ind w:left="0"/>
        <w:jc w:val="both"/>
        <w:rPr>
          <w:rFonts w:ascii="Arial" w:hAnsi="Arial" w:cs="Arial"/>
          <w:b/>
          <w:sz w:val="20"/>
          <w:szCs w:val="20"/>
        </w:rPr>
      </w:pPr>
    </w:p>
    <w:p w:rsidR="001F1792" w:rsidRDefault="001F1792" w:rsidP="00CE69A6">
      <w:pPr>
        <w:pStyle w:val="Akapitzlist"/>
        <w:ind w:left="0"/>
        <w:jc w:val="both"/>
        <w:rPr>
          <w:rFonts w:ascii="Arial" w:hAnsi="Arial" w:cs="Arial"/>
          <w:b/>
          <w:sz w:val="20"/>
          <w:szCs w:val="20"/>
        </w:rPr>
      </w:pPr>
    </w:p>
    <w:p w:rsidR="001F1792" w:rsidRDefault="001F1792" w:rsidP="00CE69A6">
      <w:pPr>
        <w:pStyle w:val="Akapitzlist"/>
        <w:ind w:left="0"/>
        <w:jc w:val="both"/>
        <w:rPr>
          <w:rFonts w:ascii="Arial" w:hAnsi="Arial" w:cs="Arial"/>
          <w:b/>
          <w:sz w:val="20"/>
          <w:szCs w:val="20"/>
        </w:rPr>
      </w:pPr>
    </w:p>
    <w:p w:rsidR="001F1792" w:rsidRDefault="001F1792" w:rsidP="00CE69A6">
      <w:pPr>
        <w:pStyle w:val="Akapitzlist"/>
        <w:ind w:left="0"/>
        <w:jc w:val="both"/>
        <w:rPr>
          <w:rFonts w:ascii="Arial" w:hAnsi="Arial" w:cs="Arial"/>
          <w:b/>
          <w:sz w:val="20"/>
          <w:szCs w:val="20"/>
        </w:rPr>
      </w:pPr>
    </w:p>
    <w:p w:rsidR="00CE69A6" w:rsidRDefault="00CE69A6" w:rsidP="00CE69A6">
      <w:pPr>
        <w:pStyle w:val="Akapitzlist"/>
        <w:ind w:left="0"/>
        <w:jc w:val="both"/>
        <w:rPr>
          <w:rFonts w:ascii="Arial" w:hAnsi="Arial" w:cs="Arial"/>
          <w:b/>
          <w:sz w:val="20"/>
          <w:szCs w:val="20"/>
        </w:rPr>
      </w:pPr>
      <w:r>
        <w:rPr>
          <w:rFonts w:ascii="Arial" w:hAnsi="Arial" w:cs="Arial"/>
          <w:b/>
          <w:sz w:val="20"/>
          <w:szCs w:val="20"/>
        </w:rPr>
        <w:lastRenderedPageBreak/>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1F1792">
        <w:rPr>
          <w:rFonts w:ascii="Arial" w:hAnsi="Arial" w:cs="Arial"/>
          <w:b/>
          <w:sz w:val="20"/>
          <w:szCs w:val="20"/>
        </w:rPr>
        <w:t xml:space="preserve">13 października </w:t>
      </w:r>
      <w:r>
        <w:rPr>
          <w:rFonts w:ascii="Arial" w:hAnsi="Arial" w:cs="Arial"/>
          <w:b/>
          <w:sz w:val="20"/>
          <w:szCs w:val="20"/>
        </w:rPr>
        <w:t xml:space="preserve">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1F1792">
        <w:rPr>
          <w:rFonts w:ascii="Arial" w:hAnsi="Arial" w:cs="Arial"/>
          <w:sz w:val="20"/>
          <w:szCs w:val="20"/>
        </w:rPr>
        <w:t>13</w:t>
      </w:r>
      <w:r>
        <w:rPr>
          <w:rFonts w:ascii="Arial" w:hAnsi="Arial" w:cs="Arial"/>
          <w:sz w:val="20"/>
          <w:szCs w:val="20"/>
        </w:rPr>
        <w:t>.</w:t>
      </w:r>
      <w:r w:rsidR="001F1792">
        <w:rPr>
          <w:rFonts w:ascii="Arial" w:hAnsi="Arial" w:cs="Arial"/>
          <w:sz w:val="20"/>
          <w:szCs w:val="20"/>
        </w:rPr>
        <w:t>10</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lastRenderedPageBreak/>
        <w:t xml:space="preserve">Przetarg odbędzie się w dniu </w:t>
      </w:r>
      <w:r w:rsidR="001F1792">
        <w:rPr>
          <w:rFonts w:ascii="Arial" w:hAnsi="Arial" w:cs="Arial"/>
          <w:b/>
          <w:sz w:val="20"/>
          <w:szCs w:val="20"/>
        </w:rPr>
        <w:t>1</w:t>
      </w:r>
      <w:r w:rsidR="001F1792">
        <w:rPr>
          <w:rFonts w:ascii="Arial" w:hAnsi="Arial" w:cs="Arial"/>
          <w:b/>
          <w:sz w:val="20"/>
          <w:szCs w:val="20"/>
        </w:rPr>
        <w:t>7</w:t>
      </w:r>
      <w:r w:rsidR="001F1792">
        <w:rPr>
          <w:rFonts w:ascii="Arial" w:hAnsi="Arial" w:cs="Arial"/>
          <w:b/>
          <w:sz w:val="20"/>
          <w:szCs w:val="20"/>
        </w:rPr>
        <w:t xml:space="preserve"> października </w:t>
      </w:r>
      <w:r>
        <w:rPr>
          <w:rFonts w:ascii="Arial" w:hAnsi="Arial" w:cs="Arial"/>
          <w:b/>
          <w:sz w:val="20"/>
          <w:szCs w:val="20"/>
        </w:rPr>
        <w:t>2017 r. o godz. 1</w:t>
      </w:r>
      <w:r w:rsidR="001F1792">
        <w:rPr>
          <w:rFonts w:ascii="Arial" w:hAnsi="Arial" w:cs="Arial"/>
          <w:b/>
          <w:sz w:val="20"/>
          <w:szCs w:val="20"/>
        </w:rPr>
        <w:t>0</w:t>
      </w:r>
      <w:r w:rsidR="001F1792">
        <w:rPr>
          <w:rFonts w:ascii="Arial" w:hAnsi="Arial" w:cs="Arial"/>
          <w:b/>
          <w:sz w:val="20"/>
          <w:szCs w:val="20"/>
          <w:vertAlign w:val="superscript"/>
        </w:rPr>
        <w:t>4</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 xml:space="preserve">Krosno Odrzańskie, </w:t>
      </w:r>
      <w:r w:rsidR="001F1792">
        <w:rPr>
          <w:rFonts w:ascii="Arial" w:hAnsi="Arial" w:cs="Arial"/>
          <w:sz w:val="20"/>
          <w:szCs w:val="20"/>
        </w:rPr>
        <w:t>13</w:t>
      </w:r>
      <w:r w:rsidR="00CE69A6">
        <w:rPr>
          <w:rFonts w:ascii="Arial" w:hAnsi="Arial" w:cs="Arial"/>
          <w:sz w:val="20"/>
          <w:szCs w:val="20"/>
        </w:rPr>
        <w:t xml:space="preserve"> </w:t>
      </w:r>
      <w:r w:rsidR="001F1792">
        <w:rPr>
          <w:rFonts w:ascii="Arial" w:hAnsi="Arial" w:cs="Arial"/>
          <w:sz w:val="20"/>
          <w:szCs w:val="20"/>
        </w:rPr>
        <w:t>września</w:t>
      </w:r>
      <w:bookmarkStart w:id="0" w:name="_GoBack"/>
      <w:bookmarkEnd w:id="0"/>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rsidSect="002D0A4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1F0A95"/>
    <w:rsid w:val="001F1792"/>
    <w:rsid w:val="002D0A40"/>
    <w:rsid w:val="0038465B"/>
    <w:rsid w:val="004B5072"/>
    <w:rsid w:val="00663891"/>
    <w:rsid w:val="006712BC"/>
    <w:rsid w:val="006D051D"/>
    <w:rsid w:val="006E1A5B"/>
    <w:rsid w:val="009324BB"/>
    <w:rsid w:val="009658B1"/>
    <w:rsid w:val="00AA6722"/>
    <w:rsid w:val="00B10679"/>
    <w:rsid w:val="00C31D92"/>
    <w:rsid w:val="00C37631"/>
    <w:rsid w:val="00CA32AE"/>
    <w:rsid w:val="00CE69A6"/>
    <w:rsid w:val="00D508C3"/>
    <w:rsid w:val="00DC12AB"/>
    <w:rsid w:val="00EA6E7F"/>
    <w:rsid w:val="00F13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7115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2</cp:revision>
  <cp:lastPrinted>2017-07-21T08:24:00Z</cp:lastPrinted>
  <dcterms:created xsi:type="dcterms:W3CDTF">2017-09-12T10:23:00Z</dcterms:created>
  <dcterms:modified xsi:type="dcterms:W3CDTF">2017-09-12T10:23:00Z</dcterms:modified>
</cp:coreProperties>
</file>