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FBA5E" w14:textId="77777777" w:rsidR="004E1C0B" w:rsidRDefault="004E1C0B" w:rsidP="004E1C0B">
      <w:pPr>
        <w:pStyle w:val="Akapitzlist"/>
        <w:ind w:left="0"/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14:paraId="3C93DA46" w14:textId="028F3B17" w:rsidR="004E1C0B" w:rsidRPr="004E1C0B" w:rsidRDefault="004E1C0B" w:rsidP="004E1C0B">
      <w:pPr>
        <w:spacing w:before="100" w:beforeAutospacing="1" w:after="100" w:afterAutospacing="1"/>
        <w:ind w:left="1065" w:hanging="705"/>
        <w:jc w:val="right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Świebodzin</w:t>
      </w:r>
      <w:r w:rsidRPr="004E1C0B">
        <w:rPr>
          <w:rFonts w:ascii="Times New Roman" w:eastAsia="Times New Roman" w:hAnsi="Times New Roman" w:cs="Times New Roman"/>
          <w:lang w:val="pl-PL"/>
        </w:rPr>
        <w:t>, dnia 2</w:t>
      </w:r>
      <w:r>
        <w:rPr>
          <w:rFonts w:ascii="Times New Roman" w:eastAsia="Times New Roman" w:hAnsi="Times New Roman" w:cs="Times New Roman"/>
          <w:lang w:val="pl-PL"/>
        </w:rPr>
        <w:t>4</w:t>
      </w:r>
      <w:r w:rsidRPr="004E1C0B">
        <w:rPr>
          <w:rFonts w:ascii="Times New Roman" w:eastAsia="Times New Roman" w:hAnsi="Times New Roman" w:cs="Times New Roman"/>
          <w:lang w:val="pl-PL"/>
        </w:rPr>
        <w:t xml:space="preserve"> października 2019 r. </w:t>
      </w:r>
    </w:p>
    <w:p w14:paraId="3E29E8C8" w14:textId="77777777" w:rsidR="004E1C0B" w:rsidRPr="004E1C0B" w:rsidRDefault="004E1C0B" w:rsidP="004E1C0B">
      <w:pPr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color w:val="191919"/>
          <w:lang w:val="pl-PL"/>
        </w:rPr>
      </w:pPr>
      <w:r w:rsidRPr="004E1C0B">
        <w:rPr>
          <w:rFonts w:ascii="Times New Roman" w:eastAsia="Times New Roman" w:hAnsi="Times New Roman" w:cs="Times New Roman"/>
          <w:color w:val="191919"/>
          <w:lang w:val="pl-PL"/>
        </w:rPr>
        <w:t>Numer sprawy: PEZ.272.1.14.2019.BN</w:t>
      </w:r>
    </w:p>
    <w:p w14:paraId="0F2989B9" w14:textId="77777777" w:rsidR="004E1C0B" w:rsidRPr="004E1C0B" w:rsidRDefault="004E1C0B" w:rsidP="004E1C0B">
      <w:pPr>
        <w:spacing w:before="100" w:beforeAutospacing="1" w:after="100" w:afterAutospacing="1" w:line="264" w:lineRule="auto"/>
        <w:ind w:left="4248" w:firstLine="708"/>
        <w:jc w:val="both"/>
        <w:rPr>
          <w:rFonts w:ascii="Times New Roman" w:eastAsia="Times New Roman" w:hAnsi="Times New Roman" w:cs="Times New Roman"/>
          <w:color w:val="191919"/>
          <w:lang w:val="pl-PL"/>
        </w:rPr>
      </w:pPr>
    </w:p>
    <w:p w14:paraId="47952CF6" w14:textId="77777777" w:rsidR="004E1C0B" w:rsidRPr="00220DE8" w:rsidRDefault="004E1C0B" w:rsidP="004E1C0B">
      <w:pPr>
        <w:spacing w:before="100" w:beforeAutospacing="1" w:after="100" w:afterAutospacing="1" w:line="264" w:lineRule="auto"/>
        <w:ind w:left="4248" w:firstLine="708"/>
        <w:jc w:val="both"/>
        <w:rPr>
          <w:rFonts w:ascii="Times New Roman" w:eastAsia="Times New Roman" w:hAnsi="Times New Roman" w:cs="Times New Roman"/>
          <w:color w:val="191919"/>
          <w:sz w:val="22"/>
          <w:szCs w:val="22"/>
          <w:lang w:val="pl-PL"/>
        </w:rPr>
      </w:pPr>
      <w:r w:rsidRPr="00220DE8">
        <w:rPr>
          <w:rFonts w:ascii="Times New Roman" w:eastAsia="Times New Roman" w:hAnsi="Times New Roman" w:cs="Times New Roman"/>
          <w:color w:val="191919"/>
          <w:sz w:val="22"/>
          <w:szCs w:val="22"/>
          <w:lang w:val="pl-PL"/>
        </w:rPr>
        <w:t xml:space="preserve">Do wszystkich Wykonawców </w:t>
      </w:r>
    </w:p>
    <w:p w14:paraId="045CE1DC" w14:textId="1F640B23" w:rsidR="004E1C0B" w:rsidRPr="00220DE8" w:rsidRDefault="004E1C0B" w:rsidP="00B93932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2"/>
          <w:szCs w:val="22"/>
          <w:lang w:val="pl-PL"/>
        </w:rPr>
      </w:pPr>
      <w:r w:rsidRPr="00220DE8">
        <w:rPr>
          <w:rFonts w:ascii="Times New Roman" w:eastAsia="Times New Roman" w:hAnsi="Times New Roman" w:cs="Times New Roman"/>
          <w:color w:val="191919"/>
          <w:sz w:val="22"/>
          <w:szCs w:val="22"/>
          <w:lang w:val="pl-PL"/>
        </w:rPr>
        <w:t>Na podstawie art. 38 ust. 2 Ustawy z dnia 29 stycznia 2004 r. – Prawo zamówień publicznych (tj. Dz.U. z 2019 r.</w:t>
      </w:r>
      <w:r w:rsidRPr="00220DE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220DE8">
        <w:rPr>
          <w:rFonts w:ascii="Times New Roman" w:eastAsia="Times New Roman" w:hAnsi="Times New Roman" w:cs="Times New Roman"/>
          <w:color w:val="191919"/>
          <w:sz w:val="22"/>
          <w:szCs w:val="22"/>
        </w:rPr>
        <w:t>poz. 1843)</w:t>
      </w:r>
      <w:r w:rsidRPr="00220DE8">
        <w:rPr>
          <w:rFonts w:ascii="Times New Roman" w:eastAsia="Times New Roman" w:hAnsi="Times New Roman" w:cs="Times New Roman"/>
          <w:color w:val="191919"/>
          <w:sz w:val="22"/>
          <w:szCs w:val="22"/>
          <w:lang w:val="pl-PL"/>
        </w:rPr>
        <w:t xml:space="preserve"> Zamawiający przekazuje treść pytań, które wpłynęły w związku z prowadzonym postępowaniem o udzielenie zamówienia publicznego prowadzonego w trybie przetargu nieograniczonego na kompleksową dostawę gazu </w:t>
      </w:r>
      <w:bookmarkStart w:id="0" w:name="_Hlk19511815"/>
      <w:r w:rsidRPr="00220DE8">
        <w:rPr>
          <w:rFonts w:ascii="Times New Roman" w:eastAsia="Times New Roman" w:hAnsi="Times New Roman" w:cs="Times New Roman"/>
          <w:color w:val="191919"/>
          <w:sz w:val="22"/>
          <w:szCs w:val="22"/>
          <w:lang w:val="pl-PL"/>
        </w:rPr>
        <w:t xml:space="preserve">pn.: </w:t>
      </w:r>
      <w:bookmarkEnd w:id="0"/>
      <w:r w:rsidRPr="00220DE8">
        <w:rPr>
          <w:rFonts w:ascii="Times New Roman" w:eastAsia="Times New Roman" w:hAnsi="Times New Roman" w:cs="Times New Roman"/>
          <w:b/>
          <w:bCs/>
          <w:color w:val="191919"/>
          <w:sz w:val="22"/>
          <w:szCs w:val="22"/>
          <w:lang w:val="pl-PL"/>
        </w:rPr>
        <w:t>„Dostawa energii elektrycznej dla Powiatu Świebodzińskiego i jego jednostek organizacyjnych na okres od 01.01.2020 do 31.12.2021 r.”</w:t>
      </w:r>
    </w:p>
    <w:p w14:paraId="05A58F65" w14:textId="68BD9491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sz w:val="22"/>
          <w:szCs w:val="22"/>
          <w:lang w:val="pl-PL"/>
        </w:rPr>
        <w:t>Pytanie 1</w:t>
      </w:r>
    </w:p>
    <w:p w14:paraId="3B7AC366" w14:textId="77777777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Załącznik nr 2 do SIWZ § 2 ustęp 5 i § 11 ustęp 1 pkt. 5. Wykonawca zwraca się z prośbą o doprecyzowanie przedmiotowego zapisu poprzez określenie, iż Zamawiający może zwiększyć ilość punktów poboru energii elektrycznej (PPE) lub zmienić taryfę danego punktu, jedynie w obrębie tych grup taryfowych, które zostały określone i wycenione w Ofercie Sprzedawcy. Punkty z innych grup taryfowych, nieujętych w Ofercie, oznaczały będą zmianę przedmiotu zamówienia. Z uwagi na powyższe Wykonawca zwraca się z prośbą o dodanie następującego zapisu: „Zwiększenie punktów poboru lub zmiana grupy taryfowej możliwe jest jedynie w obrębie grup taryfowych, które zostały ujęte w SIWZ oraz wycenione w Formularzu Ofertowym Wykonawcy.”</w:t>
      </w:r>
    </w:p>
    <w:p w14:paraId="6FA6F240" w14:textId="08CA9604" w:rsidR="004E1C0B" w:rsidRDefault="00220DE8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0DE8">
        <w:rPr>
          <w:rFonts w:ascii="Times New Roman" w:hAnsi="Times New Roman" w:cs="Times New Roman"/>
          <w:b/>
          <w:bCs/>
          <w:sz w:val="22"/>
          <w:szCs w:val="22"/>
        </w:rPr>
        <w:t>Odpowiedź na pytanie nr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1:</w:t>
      </w:r>
    </w:p>
    <w:p w14:paraId="5EE9D797" w14:textId="1C4CC663" w:rsidR="00220DE8" w:rsidRDefault="00220DE8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Zamawiający informuje, że nie wyraża zgody na modyfikację zapisu. Powyższa zmiana może być dokonana na podstawie art. 144 ustawy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48639569" w14:textId="77777777" w:rsidR="00220DE8" w:rsidRPr="00220DE8" w:rsidRDefault="00220DE8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2A8650D" w14:textId="77777777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sz w:val="22"/>
          <w:szCs w:val="22"/>
          <w:lang w:val="pl-PL"/>
        </w:rPr>
        <w:t>Pytanie 2</w:t>
      </w:r>
    </w:p>
    <w:p w14:paraId="4139A1D4" w14:textId="77777777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Załącznik nr 2 do SIWZ § 4.  Informujemy, że zgodnie z zapisami Instrukcji Ruchu i Eksploatacji Sieci Dystrybucyjnej (</w:t>
      </w:r>
      <w:proofErr w:type="spellStart"/>
      <w:r w:rsidRPr="00220DE8">
        <w:rPr>
          <w:rFonts w:ascii="Times New Roman" w:hAnsi="Times New Roman" w:cs="Times New Roman"/>
          <w:sz w:val="22"/>
          <w:szCs w:val="22"/>
          <w:lang w:val="pl-PL"/>
        </w:rPr>
        <w:t>IRiESD</w:t>
      </w:r>
      <w:proofErr w:type="spellEnd"/>
      <w:r w:rsidRPr="00220DE8">
        <w:rPr>
          <w:rFonts w:ascii="Times New Roman" w:hAnsi="Times New Roman" w:cs="Times New Roman"/>
          <w:sz w:val="22"/>
          <w:szCs w:val="22"/>
          <w:lang w:val="pl-PL"/>
        </w:rPr>
        <w:t>) poszczególnych OSD, zatwierdzonych przez Prezesa URE, do rozpoczęcia sprzedaży energii elektrycznej konieczne jest zgłoszenie umowy do OSD, przeprowadzenie procesu zmiany sprzedawcy oraz przyjęcie umowy do realizacji przez OSD. W związku z powyższym Wykonawca zwraca się z prośbą o zmodyfikowanie zapisu do treści: „Umowa wchodzi w życie w zakresie każdego punktu poboru z dniem 01.01.2020 r., lecz nie wcześniej, niż po zawarciu umów dystrybucyjnych, pozytywnie przeprowadzonej procedurze zmiany sprzedawcy i przyjęciu umowy do realizacji przez OSD”.</w:t>
      </w:r>
    </w:p>
    <w:p w14:paraId="5B021077" w14:textId="4A133E97" w:rsidR="004E1C0B" w:rsidRPr="00220DE8" w:rsidRDefault="00220DE8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2</w:t>
      </w:r>
      <w:r w:rsidRPr="00220DE8">
        <w:rPr>
          <w:rFonts w:ascii="Times New Roman" w:hAnsi="Times New Roman" w:cs="Times New Roman"/>
          <w:b/>
          <w:bCs/>
          <w:sz w:val="22"/>
          <w:szCs w:val="22"/>
          <w:lang w:val="pl-PL"/>
        </w:rPr>
        <w:t>:</w:t>
      </w:r>
    </w:p>
    <w:p w14:paraId="458E3419" w14:textId="31FBB9AF" w:rsidR="00220DE8" w:rsidRPr="00220DE8" w:rsidRDefault="00220DE8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Zamawiający uważa</w:t>
      </w:r>
      <w:r w:rsidR="00F91AA0">
        <w:rPr>
          <w:rFonts w:ascii="Times New Roman" w:hAnsi="Times New Roman" w:cs="Times New Roman"/>
          <w:sz w:val="22"/>
          <w:szCs w:val="22"/>
          <w:lang w:val="pl-PL"/>
        </w:rPr>
        <w:t xml:space="preserve">, że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obecny zapis w umowie w par. 4 (Załącznik nr 2 do SIWZ) jest w zupełności zapisem wystarczającym i Zamawiający nie dokonuje modyfikacji </w:t>
      </w:r>
      <w:r w:rsidR="00F91AA0">
        <w:rPr>
          <w:rFonts w:ascii="Times New Roman" w:hAnsi="Times New Roman" w:cs="Times New Roman"/>
          <w:sz w:val="22"/>
          <w:szCs w:val="22"/>
          <w:lang w:val="pl-PL"/>
        </w:rPr>
        <w:t xml:space="preserve">tego </w:t>
      </w:r>
      <w:r>
        <w:rPr>
          <w:rFonts w:ascii="Times New Roman" w:hAnsi="Times New Roman" w:cs="Times New Roman"/>
          <w:sz w:val="22"/>
          <w:szCs w:val="22"/>
          <w:lang w:val="pl-PL"/>
        </w:rPr>
        <w:t>zapisu.</w:t>
      </w:r>
    </w:p>
    <w:p w14:paraId="74A9A6BD" w14:textId="77777777" w:rsidR="00220DE8" w:rsidRDefault="00220DE8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93E85E3" w14:textId="7EB158D4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sz w:val="22"/>
          <w:szCs w:val="22"/>
          <w:lang w:val="pl-PL"/>
        </w:rPr>
        <w:t>Pytanie 3</w:t>
      </w:r>
    </w:p>
    <w:p w14:paraId="6EA33B71" w14:textId="77777777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 xml:space="preserve">Załącznik nr 2 do SIWZ § 5 ustęp 12 oraz § 7 ustęp 12. Wykonawca informuje, że wszystkie dane dotyczące zużycia energii przez poszczególne jednostki znajdować się będą na fakturach wystawianych przez Wykonawcę, zgodnie z powszechnie obowiązującymi przepisami prawa. </w:t>
      </w:r>
      <w:r w:rsidRPr="00220DE8">
        <w:rPr>
          <w:rFonts w:ascii="Times New Roman" w:hAnsi="Times New Roman" w:cs="Times New Roman"/>
          <w:sz w:val="22"/>
          <w:szCs w:val="22"/>
          <w:lang w:val="pl-PL"/>
        </w:rPr>
        <w:lastRenderedPageBreak/>
        <w:t>Sporządzanie dodatkowych zestawień, o których mowa w przedmiotowym zapisie, wiąże się z wykonaniem dodatkowych czynności na zlecenie Zamawiającego i powinno zostać osobno wycenione. Przepisy prawa energetycznego jasno określają natomiast składniki ceny energii elektrycznej. Wobec powyższego wnosimy o usunięcie przedmiotowego zapisu w całości.</w:t>
      </w:r>
    </w:p>
    <w:p w14:paraId="072C4023" w14:textId="16E557D3" w:rsidR="004E1C0B" w:rsidRDefault="00220DE8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bCs/>
          <w:sz w:val="22"/>
          <w:szCs w:val="22"/>
          <w:lang w:val="pl-PL"/>
        </w:rPr>
        <w:t>Odpowiedź na pytanie nr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3:</w:t>
      </w:r>
    </w:p>
    <w:p w14:paraId="7766E628" w14:textId="27CB3C37" w:rsidR="00B6382B" w:rsidRPr="00B6382B" w:rsidRDefault="00B6382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6382B">
        <w:rPr>
          <w:rFonts w:ascii="Times New Roman" w:hAnsi="Times New Roman" w:cs="Times New Roman"/>
          <w:sz w:val="22"/>
          <w:szCs w:val="22"/>
          <w:lang w:val="pl-PL"/>
        </w:rPr>
        <w:t>Zamawiający informuje, że przygotował post</w:t>
      </w:r>
      <w:r w:rsidR="00F91AA0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Pr="00B6382B">
        <w:rPr>
          <w:rFonts w:ascii="Times New Roman" w:hAnsi="Times New Roman" w:cs="Times New Roman"/>
          <w:sz w:val="22"/>
          <w:szCs w:val="22"/>
          <w:lang w:val="pl-PL"/>
        </w:rPr>
        <w:t>powanie wg własnych potrzeb i zgodnie z zapisami w niniejszej dokumentacji  Wykonawca winien wycenić ofertę, by mógł j</w:t>
      </w:r>
      <w:r w:rsidR="00F91AA0">
        <w:rPr>
          <w:rFonts w:ascii="Times New Roman" w:hAnsi="Times New Roman" w:cs="Times New Roman"/>
          <w:sz w:val="22"/>
          <w:szCs w:val="22"/>
          <w:lang w:val="pl-PL"/>
        </w:rPr>
        <w:t xml:space="preserve">ej przedmiot </w:t>
      </w:r>
      <w:r w:rsidRPr="00B6382B">
        <w:rPr>
          <w:rFonts w:ascii="Times New Roman" w:hAnsi="Times New Roman" w:cs="Times New Roman"/>
          <w:sz w:val="22"/>
          <w:szCs w:val="22"/>
          <w:lang w:val="pl-PL"/>
        </w:rPr>
        <w:t>zrealizować w pełnym zakresie.</w:t>
      </w:r>
    </w:p>
    <w:p w14:paraId="47A52959" w14:textId="77777777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63022BC" w14:textId="77777777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sz w:val="22"/>
          <w:szCs w:val="22"/>
          <w:lang w:val="pl-PL"/>
        </w:rPr>
        <w:t>Pytanie 4</w:t>
      </w:r>
    </w:p>
    <w:p w14:paraId="1FB15340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Załącznik nr 2 do SIWZ §</w:t>
      </w:r>
      <w:r w:rsidRPr="00220DE8">
        <w:rPr>
          <w:rFonts w:ascii="Times New Roman" w:hAnsi="Times New Roman" w:cs="Times New Roman"/>
          <w:sz w:val="22"/>
          <w:szCs w:val="22"/>
        </w:rPr>
        <w:t xml:space="preserve"> Informujemy, że zapisy dotyczące kar umownych są nieproporcjonalne, przez co naruszają zasadę równości stron w stosunku cywilnoprawnym. Wykonawca zwraca się z prośbą o wprowadzenie adekwatnych kar umownych lub o usunięcie wskazanych zapisów w całości. W przypadku wyrażenia zgody na rezygnację z kar umownych, zwracamy się z prośbą o modyfikację zapisów do treści: „Strony ponoszą wobec siebie odpowiedzialność odszkodowawczą na zasadach ogólnych do wysokości poniesionej szkody (straty)”. Informujemy jednocześnie, że zapisy w obecnym kształcie wpływają na wzrost ryzyka związanego z realizacją umowy po stronie Wykonawcy, co z kolei może negatywnie wpłynąć na kalkulację ceny ofertowej dla Zamawiającego.</w:t>
      </w:r>
    </w:p>
    <w:p w14:paraId="70D386A1" w14:textId="562CA499" w:rsidR="004E1C0B" w:rsidRDefault="00B6382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bCs/>
          <w:sz w:val="22"/>
          <w:szCs w:val="22"/>
          <w:lang w:val="pl-PL"/>
        </w:rPr>
        <w:t>Odpowiedź na pytanie nr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4:</w:t>
      </w:r>
    </w:p>
    <w:p w14:paraId="09B37068" w14:textId="1A45F800" w:rsidR="00B6382B" w:rsidRPr="00220DE8" w:rsidRDefault="00B6382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Zamawiający nie podziela poglądu Wykonawcy, że kary umowne zapisane w projekcie umowy są nieproporcjonalne, przez  </w:t>
      </w:r>
      <w:r w:rsidRPr="00B6382B">
        <w:rPr>
          <w:rFonts w:ascii="Times New Roman" w:hAnsi="Times New Roman" w:cs="Times New Roman"/>
          <w:sz w:val="22"/>
          <w:szCs w:val="22"/>
        </w:rPr>
        <w:t>co naruszają zasadę równości stron w stosunku cywilnoprawnym</w:t>
      </w:r>
      <w:r>
        <w:rPr>
          <w:rFonts w:ascii="Times New Roman" w:hAnsi="Times New Roman" w:cs="Times New Roman"/>
          <w:sz w:val="22"/>
          <w:szCs w:val="22"/>
        </w:rPr>
        <w:t>. Zamawiający jako podmiot publiczny zobowiązany jest do zabezpieczenia interesów stron poprzez między innymi zapisy dotyczące kar umownych.</w:t>
      </w:r>
    </w:p>
    <w:p w14:paraId="7DE0BA28" w14:textId="77777777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152917C" w14:textId="77777777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sz w:val="22"/>
          <w:szCs w:val="22"/>
          <w:lang w:val="pl-PL"/>
        </w:rPr>
        <w:t>Pytanie 5</w:t>
      </w:r>
    </w:p>
    <w:p w14:paraId="47A40CC0" w14:textId="77777777" w:rsidR="004E1C0B" w:rsidRPr="00220DE8" w:rsidRDefault="004E1C0B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eastAsia="Times New Roman" w:hAnsi="Times New Roman" w:cs="Times New Roman"/>
          <w:sz w:val="22"/>
          <w:szCs w:val="22"/>
          <w:lang w:val="pl-PL"/>
        </w:rPr>
        <w:t>Wykonawca zwraca się z prośbą o udzielenie następujących informacji:</w:t>
      </w:r>
    </w:p>
    <w:p w14:paraId="7B89FF42" w14:textId="2EA1DE20" w:rsidR="004E1C0B" w:rsidRPr="00B6382B" w:rsidRDefault="004E1C0B" w:rsidP="00B9393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Czy Zamawiający posiada aktualnie umowy kompleksowe czy rozdzielone na umowę sprzedaży energii elektrycznej i umowę na świadczenie usług dystrybucji </w:t>
      </w:r>
    </w:p>
    <w:p w14:paraId="248C1F84" w14:textId="3EE953C7" w:rsidR="00B6382B" w:rsidRDefault="00B6382B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Odpowiedz na pytanie 5a): </w:t>
      </w:r>
      <w:r w:rsidRPr="00B6382B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Zgodnie z załącznikiem nr 1 do SIWZ, Zamawiający posiada umowy dystrybucyjne zawarte na czas nieokreślony, </w:t>
      </w:r>
    </w:p>
    <w:p w14:paraId="183FC306" w14:textId="77777777" w:rsidR="00B6382B" w:rsidRPr="00B6382B" w:rsidRDefault="00B6382B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8127B30" w14:textId="1ED3D053" w:rsidR="004E1C0B" w:rsidRPr="00B6382B" w:rsidRDefault="004E1C0B" w:rsidP="00B9393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sz w:val="22"/>
          <w:szCs w:val="22"/>
          <w:lang w:val="pl-PL"/>
        </w:rPr>
        <w:t>Czy procedura zmiany sprzedawcy będzie przeprowadzana po raz pierwszy?</w:t>
      </w:r>
    </w:p>
    <w:p w14:paraId="19E5C56E" w14:textId="5F4FCF78" w:rsidR="00B6382B" w:rsidRDefault="00B6382B" w:rsidP="00B93932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Odpowiedz na pytanie 5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b</w:t>
      </w:r>
      <w:r w:rsidRPr="00B6382B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):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 procedura prowadzony jest po raz kolejny,</w:t>
      </w:r>
    </w:p>
    <w:p w14:paraId="13D71FBD" w14:textId="77777777" w:rsidR="00B6382B" w:rsidRPr="00B6382B" w:rsidRDefault="00B6382B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80CD626" w14:textId="044D8FAC" w:rsidR="004E1C0B" w:rsidRPr="00B6382B" w:rsidRDefault="004E1C0B" w:rsidP="00B9393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sz w:val="22"/>
          <w:szCs w:val="22"/>
          <w:lang w:val="pl-PL"/>
        </w:rPr>
        <w:t>Czy umowy dystrybucyjne (jeśli zamawiający posiada rozdzielone umowy) zawarte są na czas określony, czy nieokreślony?</w:t>
      </w:r>
    </w:p>
    <w:p w14:paraId="120C7E14" w14:textId="6D28C6F0" w:rsidR="00B6382B" w:rsidRDefault="00B6382B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Odpowiedz na pytanie 5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c</w:t>
      </w:r>
      <w:r w:rsidRPr="00B6382B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):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Pr="00B6382B">
        <w:rPr>
          <w:rFonts w:ascii="Times New Roman" w:eastAsia="Times New Roman" w:hAnsi="Times New Roman" w:cs="Times New Roman"/>
          <w:sz w:val="22"/>
          <w:szCs w:val="22"/>
          <w:lang w:val="pl-PL"/>
        </w:rPr>
        <w:t>odpowiedź udzielona przy pytaniu 5a,</w:t>
      </w:r>
    </w:p>
    <w:p w14:paraId="5064DE1F" w14:textId="77777777" w:rsidR="00B6382B" w:rsidRPr="00B6382B" w:rsidRDefault="00B6382B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1F80576F" w14:textId="196A46AB" w:rsidR="004E1C0B" w:rsidRPr="00B6382B" w:rsidRDefault="004E1C0B" w:rsidP="00B9393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Kto jest dotychczasowym sprzedawcą energii elektrycznej? </w:t>
      </w:r>
    </w:p>
    <w:p w14:paraId="435B1CBD" w14:textId="149A5B45" w:rsidR="00B6382B" w:rsidRDefault="00B6382B" w:rsidP="00B93932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Odpowiedz na pytanie 5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d</w:t>
      </w:r>
      <w:r w:rsidRPr="00B6382B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):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Pr="00B6382B">
        <w:rPr>
          <w:rFonts w:ascii="Times New Roman" w:eastAsia="Times New Roman" w:hAnsi="Times New Roman" w:cs="Times New Roman"/>
          <w:sz w:val="22"/>
          <w:szCs w:val="22"/>
          <w:lang w:val="pl-PL"/>
        </w:rPr>
        <w:t>pełna informacja zawarta jest z Załączniku nr 1 do SIWZ.</w:t>
      </w:r>
    </w:p>
    <w:p w14:paraId="00AC1BF2" w14:textId="77777777" w:rsidR="00B6382B" w:rsidRPr="00B6382B" w:rsidRDefault="00B6382B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19A6F8E5" w14:textId="48996544" w:rsidR="004E1C0B" w:rsidRPr="00B6382B" w:rsidRDefault="004E1C0B" w:rsidP="00B9393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sz w:val="22"/>
          <w:szCs w:val="22"/>
          <w:lang w:val="pl-PL"/>
        </w:rPr>
        <w:t>Jaki jest okres wypowiedzenia obowiązujących umów kompleksowych/ umów sprzedaży energii elektrycznej?</w:t>
      </w:r>
    </w:p>
    <w:p w14:paraId="6249FFF6" w14:textId="64EE648F" w:rsidR="00B93932" w:rsidRPr="00B93932" w:rsidRDefault="00B93932" w:rsidP="00B93932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B93932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Odpowiedz na pytanie 5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e</w:t>
      </w:r>
      <w:r w:rsidRPr="00B93932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): </w:t>
      </w:r>
      <w:r w:rsidRPr="00B93932">
        <w:rPr>
          <w:rFonts w:ascii="Times New Roman" w:eastAsia="Times New Roman" w:hAnsi="Times New Roman" w:cs="Times New Roman"/>
          <w:sz w:val="22"/>
          <w:szCs w:val="22"/>
          <w:lang w:val="pl-PL"/>
        </w:rPr>
        <w:t>pełna informacja zawarta jest z Załączniku nr 1 do SIWZ.</w:t>
      </w:r>
    </w:p>
    <w:p w14:paraId="7A527682" w14:textId="77777777" w:rsidR="00B6382B" w:rsidRPr="00B6382B" w:rsidRDefault="00B6382B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5A72C2E" w14:textId="558EDFCD" w:rsidR="004E1C0B" w:rsidRPr="00B93932" w:rsidRDefault="004E1C0B" w:rsidP="00B9393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93932">
        <w:rPr>
          <w:rFonts w:ascii="Times New Roman" w:eastAsia="Times New Roman" w:hAnsi="Times New Roman" w:cs="Times New Roman"/>
          <w:sz w:val="22"/>
          <w:szCs w:val="22"/>
          <w:lang w:val="pl-PL"/>
        </w:rPr>
        <w:lastRenderedPageBreak/>
        <w:t>Czy Zamawiający samodzielnie wypowie obowiązujące umowy w terminach pozwalających na skuteczne przeprowadzenie procesu zmiany sprzedawcy, czy też upoważni do tej czynności Wykonawcę?</w:t>
      </w:r>
    </w:p>
    <w:p w14:paraId="1A8FD345" w14:textId="47C80E2B" w:rsidR="00B93932" w:rsidRDefault="00B93932" w:rsidP="00B93932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B6382B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Odpowiedz na pytanie 5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f</w:t>
      </w:r>
      <w:r w:rsidRPr="00B6382B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):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bookmarkStart w:id="1" w:name="_Hlk22797565"/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pytanie bezzasadne, Zamawiający nie posiada takich umów</w:t>
      </w:r>
      <w:bookmarkEnd w:id="1"/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14:paraId="6C56B5F1" w14:textId="77777777" w:rsidR="00B93932" w:rsidRPr="00B93932" w:rsidRDefault="00B93932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6956A305" w14:textId="6487B9CE" w:rsidR="004E1C0B" w:rsidRPr="00B93932" w:rsidRDefault="004E1C0B" w:rsidP="00B93932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93932">
        <w:rPr>
          <w:rFonts w:ascii="Times New Roman" w:eastAsia="Times New Roman" w:hAnsi="Times New Roman" w:cs="Times New Roman"/>
          <w:sz w:val="22"/>
          <w:szCs w:val="22"/>
          <w:lang w:val="pl-PL"/>
        </w:rPr>
        <w:t>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14:paraId="438037B1" w14:textId="3AD1DFED" w:rsidR="00B93932" w:rsidRPr="00B93932" w:rsidRDefault="00B93932" w:rsidP="00B93932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O</w:t>
      </w:r>
      <w:r w:rsidRPr="00B93932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dpowiedz na pytanie 5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g</w:t>
      </w:r>
      <w:r w:rsidRPr="00B93932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): </w:t>
      </w:r>
      <w:r w:rsidRPr="00B93932">
        <w:rPr>
          <w:rFonts w:ascii="Times New Roman" w:eastAsia="Times New Roman" w:hAnsi="Times New Roman" w:cs="Times New Roman"/>
          <w:sz w:val="22"/>
          <w:szCs w:val="22"/>
          <w:lang w:val="pl-PL"/>
        </w:rPr>
        <w:t>pytanie bezzasadne, Zamawiający nie posiada takich umów</w:t>
      </w:r>
      <w:r w:rsidR="00F91AA0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14:paraId="4FC570DD" w14:textId="77777777" w:rsidR="00B93932" w:rsidRPr="00B93932" w:rsidRDefault="00B93932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BB8ED81" w14:textId="2CAB45DC" w:rsidR="004E1C0B" w:rsidRPr="00220DE8" w:rsidRDefault="004E1C0B" w:rsidP="00F91AA0">
      <w:pPr>
        <w:spacing w:line="288" w:lineRule="auto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h) </w:t>
      </w:r>
      <w:r w:rsidR="00F91AA0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220DE8">
        <w:rPr>
          <w:rFonts w:ascii="Times New Roman" w:eastAsia="Times New Roman" w:hAnsi="Times New Roman" w:cs="Times New Roman"/>
          <w:sz w:val="22"/>
          <w:szCs w:val="22"/>
          <w:lang w:val="pl-PL"/>
        </w:rPr>
        <w:t>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 ?</w:t>
      </w:r>
    </w:p>
    <w:p w14:paraId="7939A8AF" w14:textId="3DE249C7" w:rsidR="004E1C0B" w:rsidRDefault="00B93932" w:rsidP="00B93932">
      <w:pPr>
        <w:pStyle w:val="Akapitzlist"/>
        <w:spacing w:line="288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93932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Odpowiedź na pytanie nr 5h)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: </w:t>
      </w:r>
      <w:r w:rsidRPr="00B93932">
        <w:rPr>
          <w:rFonts w:ascii="Times New Roman" w:eastAsia="Times New Roman" w:hAnsi="Times New Roman" w:cs="Times New Roman"/>
          <w:sz w:val="22"/>
          <w:szCs w:val="22"/>
          <w:lang w:val="pl-PL"/>
        </w:rPr>
        <w:t>Zamawiający nie posiada takich umów/aneksów.</w:t>
      </w:r>
    </w:p>
    <w:p w14:paraId="2D352A3D" w14:textId="77777777" w:rsidR="00B93932" w:rsidRPr="00B93932" w:rsidRDefault="00B93932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4092CF3" w14:textId="77777777" w:rsidR="004E1C0B" w:rsidRPr="00220DE8" w:rsidRDefault="004E1C0B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sz w:val="22"/>
          <w:szCs w:val="22"/>
          <w:lang w:val="pl-PL"/>
        </w:rPr>
        <w:t>Pytanie 6</w:t>
      </w:r>
    </w:p>
    <w:p w14:paraId="5F0E24FE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0DE8">
        <w:rPr>
          <w:rFonts w:ascii="Times New Roman" w:hAnsi="Times New Roman" w:cs="Times New Roman"/>
          <w:sz w:val="22"/>
          <w:szCs w:val="22"/>
        </w:rPr>
        <w:t>Informujemy, że Wykonawca w procesie fakturowania opiera się na danych pomiarowo-rozliczeniowych przekazywanych przez Operatora Systemu Dystrybucyjnego, jednak w swoim bilingu parametryzuje długość trwania okresu rozliczeniowego. Okres rozliczeniowy dla PPE występującego w postępowaniu może wynosić  np. 10 dni, 1 miesiąc, 2 miesiące czy 6 miesięcy?</w:t>
      </w:r>
    </w:p>
    <w:p w14:paraId="3CADFF63" w14:textId="09B918FB" w:rsidR="004E1C0B" w:rsidRDefault="00B93932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B93932">
        <w:rPr>
          <w:rFonts w:ascii="Times New Roman" w:hAnsi="Times New Roman" w:cs="Times New Roman"/>
          <w:b/>
          <w:bCs/>
          <w:sz w:val="22"/>
          <w:szCs w:val="22"/>
          <w:lang w:val="pl-PL"/>
        </w:rPr>
        <w:t>Odpowiedź na pytanie nr 6:</w:t>
      </w:r>
    </w:p>
    <w:p w14:paraId="1CFFFC39" w14:textId="7227B603" w:rsidR="00B93932" w:rsidRPr="00B93932" w:rsidRDefault="00B93932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32">
        <w:rPr>
          <w:rFonts w:ascii="Times New Roman" w:hAnsi="Times New Roman" w:cs="Times New Roman"/>
          <w:sz w:val="22"/>
          <w:szCs w:val="22"/>
          <w:lang w:val="pl-PL"/>
        </w:rPr>
        <w:t xml:space="preserve">Zamawiający informuje, że </w:t>
      </w:r>
      <w:r>
        <w:rPr>
          <w:rFonts w:ascii="Times New Roman" w:hAnsi="Times New Roman" w:cs="Times New Roman"/>
          <w:sz w:val="22"/>
          <w:szCs w:val="22"/>
          <w:lang w:val="pl-PL"/>
        </w:rPr>
        <w:t>dla grup taryfowych GXX, C1X okres rozliczeniowy wynosi 2 miesiące, dla CXX 1 miesiąc.</w:t>
      </w:r>
    </w:p>
    <w:p w14:paraId="7C9C0D59" w14:textId="77777777" w:rsidR="00B93932" w:rsidRPr="00220DE8" w:rsidRDefault="00B93932" w:rsidP="00B93932">
      <w:pPr>
        <w:pStyle w:val="Akapitzlist"/>
        <w:spacing w:line="288" w:lineRule="auto"/>
        <w:ind w:left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A2B4E01" w14:textId="77777777" w:rsidR="004E1C0B" w:rsidRPr="00220DE8" w:rsidRDefault="004E1C0B" w:rsidP="00B93932">
      <w:pPr>
        <w:pStyle w:val="PGEtekstglowny"/>
        <w:spacing w:line="288" w:lineRule="auto"/>
        <w:rPr>
          <w:rFonts w:ascii="Times New Roman" w:hAnsi="Times New Roman" w:cs="Times New Roman"/>
          <w:b/>
          <w:lang w:val="cs-CZ"/>
        </w:rPr>
      </w:pPr>
      <w:r w:rsidRPr="00220DE8">
        <w:rPr>
          <w:rFonts w:ascii="Times New Roman" w:hAnsi="Times New Roman" w:cs="Times New Roman"/>
          <w:b/>
          <w:lang w:val="cs-CZ"/>
        </w:rPr>
        <w:t>Pytanie 7</w:t>
      </w:r>
    </w:p>
    <w:p w14:paraId="6A5C82C8" w14:textId="787E95B6" w:rsidR="004E1C0B" w:rsidRDefault="004E1C0B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eastAsia="Times New Roman" w:hAnsi="Times New Roman" w:cs="Times New Roman"/>
          <w:sz w:val="22"/>
          <w:szCs w:val="22"/>
          <w:lang w:val="pl-PL"/>
        </w:rPr>
        <w:t>Czy Zamawiający dysponuje tytułem prawnym (akt notarialny, umowa najmu, umowa dzierżawy, itp.), który upoważnia go do swobodnego dysponowania obiektami opisanymi w przedmiocie zamówienia? Informujemy, że brak takiego tytułu może skutecznie uniemożliwić podjęcie dalszych czynności, związanych ze zgłoszeniem umowy sprzedaży energii elektrycznej do lokalnego Operatora Systemu Dystrybucyjnego, zgodnie z jego procedurami.</w:t>
      </w:r>
    </w:p>
    <w:p w14:paraId="2B425470" w14:textId="62E670E7" w:rsidR="00B93932" w:rsidRDefault="00B93932" w:rsidP="00B93932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B93932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 xml:space="preserve">Odpowiedź na pytanie nr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7</w:t>
      </w:r>
      <w:r w:rsidRPr="00B93932"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  <w:t>:</w:t>
      </w:r>
    </w:p>
    <w:p w14:paraId="03450897" w14:textId="38D441C4" w:rsidR="00B93932" w:rsidRPr="00B93932" w:rsidRDefault="00B93932" w:rsidP="00B93932">
      <w:pPr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Tak, </w:t>
      </w:r>
      <w:r w:rsidRPr="00220DE8">
        <w:rPr>
          <w:rFonts w:ascii="Times New Roman" w:eastAsia="Times New Roman" w:hAnsi="Times New Roman" w:cs="Times New Roman"/>
          <w:sz w:val="22"/>
          <w:szCs w:val="22"/>
          <w:lang w:val="pl-PL"/>
        </w:rPr>
        <w:t>Zamawiający dysponuje tytułem prawnym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, </w:t>
      </w:r>
      <w:r w:rsidRPr="00220DE8">
        <w:rPr>
          <w:rFonts w:ascii="Times New Roman" w:eastAsia="Times New Roman" w:hAnsi="Times New Roman" w:cs="Times New Roman"/>
          <w:sz w:val="22"/>
          <w:szCs w:val="22"/>
          <w:lang w:val="pl-PL"/>
        </w:rPr>
        <w:t>który upoważnia go do swobodnego dysponowania obiektami opisanymi w przedmiocie zamówienia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14:paraId="188F91B5" w14:textId="77777777" w:rsidR="00B93932" w:rsidRPr="00220DE8" w:rsidRDefault="00B93932" w:rsidP="00B93932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26727C64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sz w:val="22"/>
          <w:szCs w:val="22"/>
        </w:rPr>
        <w:t>Pytanie 8</w:t>
      </w:r>
    </w:p>
    <w:p w14:paraId="111AC732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14:paraId="4B588BDA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Wyłoniony Wykonawca będzie potrzebował do przeprowadzenia zmiany sprzedawcy:</w:t>
      </w:r>
    </w:p>
    <w:p w14:paraId="1EF9F700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a) dokumentów dla każdej jednostki objętej postępowaniem:</w:t>
      </w:r>
    </w:p>
    <w:p w14:paraId="76857571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- pełnomocnictwo do zgłoszenia umowy;</w:t>
      </w:r>
    </w:p>
    <w:p w14:paraId="78F763F6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- dokument nadania numeru NIP;</w:t>
      </w:r>
    </w:p>
    <w:p w14:paraId="45C2D492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- dokument nadania numeru REGON;</w:t>
      </w:r>
    </w:p>
    <w:p w14:paraId="5E61B6C9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lastRenderedPageBreak/>
        <w:t>- KRS lub inny dokument na podstawie, którego działa dana jednostka;</w:t>
      </w:r>
    </w:p>
    <w:p w14:paraId="65AE1D60" w14:textId="77777777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>- dokument potwierdzający umocowanie danej osoby do podpisania umowy sprzedaży energii elektrycznej oraz pełnomocnictwa.</w:t>
      </w:r>
    </w:p>
    <w:p w14:paraId="63A9DC57" w14:textId="0838953C" w:rsidR="004E1C0B" w:rsidRDefault="00B93932" w:rsidP="00B93932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Odpowiedź na pytanie nr 8:</w:t>
      </w:r>
    </w:p>
    <w:p w14:paraId="7DC1D9C3" w14:textId="799F677D" w:rsidR="00B93932" w:rsidRPr="00B93932" w:rsidRDefault="00B93932" w:rsidP="00B93932">
      <w:pPr>
        <w:spacing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3932">
        <w:rPr>
          <w:rFonts w:ascii="Times New Roman" w:hAnsi="Times New Roman" w:cs="Times New Roman"/>
          <w:bCs/>
          <w:sz w:val="22"/>
          <w:szCs w:val="22"/>
        </w:rPr>
        <w:t xml:space="preserve">Tak, Zamawiający przekaże niezbedne dane i dokumenty </w:t>
      </w:r>
      <w:r w:rsidRPr="00B93932">
        <w:rPr>
          <w:rFonts w:ascii="Times New Roman" w:hAnsi="Times New Roman" w:cs="Times New Roman"/>
          <w:bCs/>
          <w:sz w:val="22"/>
          <w:szCs w:val="22"/>
          <w:lang w:val="pl-PL"/>
        </w:rPr>
        <w:t>do przeprowadzenia procedury zmiany sprzedawcy najpóźniej w dniu podpisania umowy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303BB6D2" w14:textId="77777777" w:rsidR="00B93932" w:rsidRDefault="00B93932" w:rsidP="00B93932">
      <w:pPr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76E81A" w14:textId="73521D52" w:rsidR="004E1C0B" w:rsidRPr="00220DE8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b/>
          <w:sz w:val="22"/>
          <w:szCs w:val="22"/>
        </w:rPr>
        <w:t>Pytanie 9</w:t>
      </w:r>
    </w:p>
    <w:p w14:paraId="1AB2CF8A" w14:textId="00F7FD41" w:rsidR="004E1C0B" w:rsidRDefault="004E1C0B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  <w:lang w:val="pl-PL"/>
        </w:rPr>
        <w:t xml:space="preserve">Zwracamy się z zapytaniem, czy Zamawiający dopuści zawarcie umowy drogą korespondencyjną?  </w:t>
      </w:r>
    </w:p>
    <w:p w14:paraId="44BB6866" w14:textId="24811A74" w:rsidR="00220DE8" w:rsidRDefault="00220DE8" w:rsidP="00B93932">
      <w:pPr>
        <w:spacing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0DE8">
        <w:rPr>
          <w:rFonts w:ascii="Times New Roman" w:hAnsi="Times New Roman" w:cs="Times New Roman"/>
          <w:b/>
          <w:bCs/>
          <w:sz w:val="22"/>
          <w:szCs w:val="22"/>
        </w:rPr>
        <w:t>Odpowiedź na pytanie nr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9:</w:t>
      </w:r>
    </w:p>
    <w:p w14:paraId="07E0999A" w14:textId="6C8CFC06" w:rsidR="00220DE8" w:rsidRPr="00220DE8" w:rsidRDefault="00220DE8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0DE8">
        <w:rPr>
          <w:rFonts w:ascii="Times New Roman" w:hAnsi="Times New Roman" w:cs="Times New Roman"/>
          <w:sz w:val="22"/>
          <w:szCs w:val="22"/>
        </w:rPr>
        <w:t>Tak, Zamawiający dopuszcza zawarcie umowy drogą korespondencyjną.</w:t>
      </w:r>
    </w:p>
    <w:p w14:paraId="2AED4BA6" w14:textId="77777777" w:rsidR="00220DE8" w:rsidRPr="00220DE8" w:rsidRDefault="00220DE8" w:rsidP="00B93932">
      <w:pPr>
        <w:spacing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79070FE" w14:textId="48418D68" w:rsidR="008B0A2E" w:rsidRPr="00B93932" w:rsidRDefault="00220DE8" w:rsidP="00B93932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3932">
        <w:rPr>
          <w:rFonts w:ascii="Times New Roman" w:hAnsi="Times New Roman" w:cs="Times New Roman"/>
          <w:b/>
          <w:bCs/>
          <w:sz w:val="22"/>
          <w:szCs w:val="22"/>
        </w:rPr>
        <w:t>Pytanie nr 10</w:t>
      </w:r>
    </w:p>
    <w:p w14:paraId="17AFBE14" w14:textId="011D1E00" w:rsidR="00220DE8" w:rsidRPr="00B93932" w:rsidRDefault="00220DE8" w:rsidP="00B93932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220DE8">
        <w:rPr>
          <w:rFonts w:ascii="Times New Roman" w:hAnsi="Times New Roman" w:cs="Times New Roman"/>
          <w:sz w:val="22"/>
          <w:szCs w:val="22"/>
        </w:rPr>
        <w:t xml:space="preserve">Jednocześnie informujemy, że OSD może odrzucuć zgłoszenie umów sprzedaży zawierające błędne </w:t>
      </w:r>
      <w:r w:rsidRPr="00B93932">
        <w:rPr>
          <w:rFonts w:ascii="Times New Roman" w:hAnsi="Times New Roman" w:cs="Times New Roman"/>
          <w:sz w:val="22"/>
          <w:szCs w:val="22"/>
        </w:rPr>
        <w:t>dane, skutkiem czego może okazać się konieczność zakupu energii przez Zamawiającego od. Tzw. Sprzedawcy rezerwowego, o którym mowa w art. 5 ust. 2a pkt 1 lit. b) ustawy Prawo energetyczne.</w:t>
      </w:r>
    </w:p>
    <w:p w14:paraId="55148FCF" w14:textId="17F73084" w:rsidR="00220DE8" w:rsidRPr="00B93932" w:rsidRDefault="00220DE8" w:rsidP="00B93932">
      <w:pPr>
        <w:spacing w:line="288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3932">
        <w:rPr>
          <w:rFonts w:ascii="Times New Roman" w:hAnsi="Times New Roman" w:cs="Times New Roman"/>
          <w:b/>
          <w:bCs/>
          <w:sz w:val="22"/>
          <w:szCs w:val="22"/>
        </w:rPr>
        <w:t>Odpowiedź na pytanie nr 10:</w:t>
      </w:r>
    </w:p>
    <w:p w14:paraId="010CF8C5" w14:textId="5634C791" w:rsidR="00220DE8" w:rsidRDefault="00220DE8" w:rsidP="00B93932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B93932">
        <w:rPr>
          <w:rFonts w:ascii="Times New Roman" w:hAnsi="Times New Roman" w:cs="Times New Roman"/>
          <w:sz w:val="22"/>
          <w:szCs w:val="22"/>
        </w:rPr>
        <w:t>Zamawiający przyjmuje do wiadomości powyższą informację.</w:t>
      </w:r>
    </w:p>
    <w:p w14:paraId="41D8E3A3" w14:textId="38A1B583" w:rsidR="00B93932" w:rsidRDefault="00B93932" w:rsidP="00B93932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2EBD3F81" w14:textId="69A25193" w:rsidR="00B93932" w:rsidRDefault="00B93932" w:rsidP="00B93932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Opracowała, dnia 24.10.2019 r.</w:t>
      </w:r>
    </w:p>
    <w:p w14:paraId="132059B5" w14:textId="7D8E2478" w:rsidR="00B93932" w:rsidRDefault="00B93932" w:rsidP="00B93932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Aleksandra Adamska</w:t>
      </w:r>
    </w:p>
    <w:p w14:paraId="511A180A" w14:textId="78CEB5A9" w:rsidR="00B93932" w:rsidRDefault="00B93932" w:rsidP="00B93932">
      <w:pPr>
        <w:spacing w:line="28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Enmedia Sp. Z o.o.</w:t>
      </w:r>
    </w:p>
    <w:p w14:paraId="2D1C0457" w14:textId="26DF3F78" w:rsidR="00B93932" w:rsidRDefault="00B93932" w:rsidP="00B93932">
      <w:pPr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5D92AB78" w14:textId="4E6E533E" w:rsidR="00621CFC" w:rsidRPr="00B93932" w:rsidRDefault="00B93932" w:rsidP="00621C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2" w:name="_GoBack"/>
      <w:bookmarkEnd w:id="2"/>
    </w:p>
    <w:p w14:paraId="12B3F47B" w14:textId="1CB4AFDE" w:rsidR="00B93932" w:rsidRPr="00B93932" w:rsidRDefault="00B93932">
      <w:pPr>
        <w:rPr>
          <w:rFonts w:ascii="Times New Roman" w:hAnsi="Times New Roman" w:cs="Times New Roman"/>
          <w:sz w:val="22"/>
          <w:szCs w:val="22"/>
        </w:rPr>
      </w:pPr>
    </w:p>
    <w:sectPr w:rsidR="00B93932" w:rsidRPr="00B9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1DD1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1DD117" w16cid:durableId="215BDE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CD4"/>
    <w:multiLevelType w:val="hybridMultilevel"/>
    <w:tmpl w:val="9D5A3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media">
    <w15:presenceInfo w15:providerId="AD" w15:userId="S::admin2@tjablonski.onmicrosoft.com::e62214b7-1543-4217-914c-c2b82aa0b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6B"/>
    <w:rsid w:val="00220DE8"/>
    <w:rsid w:val="002839FD"/>
    <w:rsid w:val="00383BE9"/>
    <w:rsid w:val="004A246B"/>
    <w:rsid w:val="004E1C0B"/>
    <w:rsid w:val="00621CFC"/>
    <w:rsid w:val="00A11C5A"/>
    <w:rsid w:val="00B6382B"/>
    <w:rsid w:val="00B93932"/>
    <w:rsid w:val="00C96AB2"/>
    <w:rsid w:val="00F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C0B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C0B"/>
    <w:pPr>
      <w:ind w:left="720"/>
      <w:contextualSpacing/>
    </w:pPr>
  </w:style>
  <w:style w:type="paragraph" w:customStyle="1" w:styleId="PGEtekstglowny">
    <w:name w:val="PGE_tekst_glowny"/>
    <w:basedOn w:val="Normalny"/>
    <w:rsid w:val="004E1C0B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9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932"/>
    <w:rPr>
      <w:rFonts w:eastAsiaTheme="minorEastAsia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932"/>
    <w:rPr>
      <w:rFonts w:eastAsiaTheme="minorEastAsia"/>
      <w:b/>
      <w:bCs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932"/>
    <w:rPr>
      <w:rFonts w:ascii="Segoe UI" w:eastAsiaTheme="minorEastAsia" w:hAnsi="Segoe UI" w:cs="Segoe UI"/>
      <w:sz w:val="18"/>
      <w:szCs w:val="18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C0B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C0B"/>
    <w:pPr>
      <w:ind w:left="720"/>
      <w:contextualSpacing/>
    </w:pPr>
  </w:style>
  <w:style w:type="paragraph" w:customStyle="1" w:styleId="PGEtekstglowny">
    <w:name w:val="PGE_tekst_glowny"/>
    <w:basedOn w:val="Normalny"/>
    <w:rsid w:val="004E1C0B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9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932"/>
    <w:rPr>
      <w:rFonts w:eastAsiaTheme="minorEastAsia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932"/>
    <w:rPr>
      <w:rFonts w:eastAsiaTheme="minorEastAsia"/>
      <w:b/>
      <w:bCs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932"/>
    <w:rPr>
      <w:rFonts w:ascii="Segoe UI" w:eastAsiaTheme="minorEastAsia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dc:description/>
  <cp:lastModifiedBy>Pracownik</cp:lastModifiedBy>
  <cp:revision>5</cp:revision>
  <dcterms:created xsi:type="dcterms:W3CDTF">2019-10-24T06:26:00Z</dcterms:created>
  <dcterms:modified xsi:type="dcterms:W3CDTF">2019-10-24T07:22:00Z</dcterms:modified>
</cp:coreProperties>
</file>