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EB" w:rsidRPr="00AC7CEB" w:rsidRDefault="00AC7CEB" w:rsidP="00AC7CEB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-146050</wp:posOffset>
                </wp:positionV>
                <wp:extent cx="739775" cy="523875"/>
                <wp:effectExtent l="5080" t="5080" r="762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CEB" w:rsidRPr="00E3281C" w:rsidRDefault="00AC7CEB" w:rsidP="00AC7CEB">
                            <w:pPr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</w:pPr>
                            <w:r w:rsidRPr="00E3281C"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-50.2pt;margin-top:-11.5pt;width:5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">
                <v:textbox>
                  <w:txbxContent>
                    <w:p w:rsidR="00AC7CEB" w:rsidRPr="00E3281C" w:rsidRDefault="00AC7CEB" w:rsidP="00AC7CEB">
                      <w:pPr>
                        <w:rPr>
                          <w:rFonts w:ascii="Calibri" w:hAnsi="Calibri"/>
                          <w:sz w:val="52"/>
                          <w:szCs w:val="52"/>
                        </w:rPr>
                      </w:pPr>
                      <w:r w:rsidRPr="00E3281C">
                        <w:rPr>
                          <w:rFonts w:ascii="Calibri" w:hAnsi="Calibri"/>
                          <w:sz w:val="52"/>
                          <w:szCs w:val="52"/>
                        </w:rPr>
                        <w:t>ON</w:t>
                      </w:r>
                    </w:p>
                  </w:txbxContent>
                </v:textbox>
              </v:rect>
            </w:pict>
          </mc:Fallback>
        </mc:AlternateContent>
      </w:r>
      <w:r w:rsidRPr="00AC7CE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</w:t>
      </w:r>
      <w:r w:rsidRPr="00AC7CEB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AC7CEB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AC7CEB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AC7CEB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AC7CEB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AC7CEB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AC7CEB">
        <w:rPr>
          <w:rFonts w:ascii="Verdana" w:eastAsia="Times New Roman" w:hAnsi="Verdana" w:cs="Times New Roman"/>
          <w:sz w:val="18"/>
          <w:szCs w:val="18"/>
          <w:lang w:eastAsia="pl-PL"/>
        </w:rPr>
        <w:tab/>
        <w:t xml:space="preserve">  </w:t>
      </w:r>
      <w:r w:rsidRPr="00AC7CEB">
        <w:rPr>
          <w:rFonts w:ascii="Verdana" w:eastAsia="Times New Roman" w:hAnsi="Verdana" w:cs="Times New Roman"/>
          <w:sz w:val="18"/>
          <w:szCs w:val="1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04.75pt;height:18pt" o:ole="">
            <v:imagedata r:id="rId9" o:title=""/>
          </v:shape>
          <w:control r:id="rId10" w:name="TextBox2" w:shapeid="_x0000_i1061"/>
        </w:object>
      </w:r>
    </w:p>
    <w:p w:rsidR="00AC7CEB" w:rsidRPr="00AC7CEB" w:rsidRDefault="00AC7CEB" w:rsidP="00AC7CEB">
      <w:pPr>
        <w:spacing w:after="0" w:line="240" w:lineRule="auto"/>
        <w:ind w:left="5664" w:firstLine="708"/>
        <w:jc w:val="center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AC7CEB">
        <w:rPr>
          <w:rFonts w:ascii="Verdana" w:eastAsia="Times New Roman" w:hAnsi="Verdana" w:cs="Times New Roman"/>
          <w:i/>
          <w:sz w:val="18"/>
          <w:szCs w:val="18"/>
          <w:lang w:eastAsia="pl-PL"/>
        </w:rPr>
        <w:t>miejscowość, data</w:t>
      </w:r>
    </w:p>
    <w:p w:rsidR="00AC7CEB" w:rsidRPr="00AC7CEB" w:rsidRDefault="00AC7CEB" w:rsidP="00AC7C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AC7CEB" w:rsidRPr="00AC7CEB" w:rsidRDefault="00AC7CEB" w:rsidP="00AC7CEB">
      <w:pPr>
        <w:keepNext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AC7CEB" w:rsidRPr="00AC7CEB" w:rsidRDefault="00AC7CEB" w:rsidP="00AC7CEB">
      <w:pPr>
        <w:keepNext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AC7CE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O Ś W I A D C Z E N I E   P R Z E D S I Ę B I O R C Y  D O  W N I O S K U  </w:t>
      </w:r>
    </w:p>
    <w:p w:rsidR="00AC7CEB" w:rsidRPr="00AC7CEB" w:rsidRDefault="00AC7CEB" w:rsidP="00AC7CEB">
      <w:pPr>
        <w:keepNext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AC7CE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O  U D Z I E L E N I E 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 E Z W O L E N I A </w:t>
      </w:r>
    </w:p>
    <w:p w:rsidR="00AC7CEB" w:rsidRPr="00AC7CEB" w:rsidRDefault="00AC7CEB" w:rsidP="00AC7C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82"/>
      </w:tblGrid>
      <w:tr w:rsidR="00AC7CEB" w:rsidRPr="00AC7CEB" w:rsidTr="00D6474D">
        <w:trPr>
          <w:trHeight w:val="5950"/>
        </w:trPr>
        <w:tc>
          <w:tcPr>
            <w:tcW w:w="9782" w:type="dxa"/>
            <w:shd w:val="clear" w:color="auto" w:fill="D9D9D9"/>
          </w:tcPr>
          <w:p w:rsidR="00AC7CEB" w:rsidRPr="00AC7CEB" w:rsidRDefault="00AC7CEB" w:rsidP="00AC7CEB">
            <w:pPr>
              <w:shd w:val="clear" w:color="auto" w:fill="D9D9D9"/>
              <w:spacing w:after="0" w:line="240" w:lineRule="auto"/>
              <w:ind w:right="317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</w:p>
          <w:p w:rsidR="00AC7CEB" w:rsidRPr="00AC7CEB" w:rsidRDefault="00AC7CEB" w:rsidP="00AC7CEB">
            <w:pPr>
              <w:shd w:val="clear" w:color="auto" w:fill="D9D9D9"/>
              <w:spacing w:after="0" w:line="240" w:lineRule="auto"/>
              <w:ind w:right="317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Ja niżej podpisany(-a)</w: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</w:rPr>
              <w:object w:dxaOrig="4320" w:dyaOrig="4320">
                <v:shape id="_x0000_i1063" type="#_x0000_t75" style="width:348pt;height:18pt" o:ole="">
                  <v:imagedata r:id="rId11" o:title=""/>
                </v:shape>
                <w:control r:id="rId12" w:name="TextBox15" w:shapeid="_x0000_i1063"/>
              </w:object>
            </w:r>
          </w:p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AC7CEB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(imię i nazwisko)</w:t>
            </w:r>
          </w:p>
          <w:p w:rsidR="00AC7CEB" w:rsidRPr="00AC7CEB" w:rsidRDefault="00AC7CEB" w:rsidP="00AC7C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zamieszkały(-a)</w: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</w:rPr>
              <w:object w:dxaOrig="4320" w:dyaOrig="4320">
                <v:shape id="_x0000_i1065" type="#_x0000_t75" style="width:347.25pt;height:18pt" o:ole="">
                  <v:imagedata r:id="rId13" o:title=""/>
                </v:shape>
                <w:control r:id="rId14" w:name="TextBox111" w:shapeid="_x0000_i1065"/>
              </w:objec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AC7CEB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(adres zamieszkania)</w:t>
            </w:r>
          </w:p>
          <w:p w:rsidR="00AC7CEB" w:rsidRPr="00AC7CEB" w:rsidRDefault="00AC7CEB" w:rsidP="00AC7C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legitymujący(-a) się dowodem osobistym </w: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</w:rPr>
              <w:object w:dxaOrig="4320" w:dyaOrig="4320">
                <v:shape id="_x0000_i1067" type="#_x0000_t75" style="width:241.5pt;height:18pt" o:ole="">
                  <v:imagedata r:id="rId15" o:title=""/>
                </v:shape>
                <w:control r:id="rId16" w:name="TextBox121" w:shapeid="_x0000_i1067"/>
              </w:objec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  <w:t xml:space="preserve"> </w:t>
            </w:r>
          </w:p>
          <w:p w:rsidR="00AC7CEB" w:rsidRPr="00AC7CEB" w:rsidRDefault="00AC7CEB" w:rsidP="00AC7C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wydanym przez      </w: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</w:rPr>
              <w:object w:dxaOrig="4320" w:dyaOrig="4320">
                <v:shape id="_x0000_i1069" type="#_x0000_t75" style="width:349.5pt;height:18pt" o:ole="">
                  <v:imagedata r:id="rId17" o:title=""/>
                </v:shape>
                <w:control r:id="rId18" w:name="TextBox131" w:shapeid="_x0000_i1069"/>
              </w:object>
            </w:r>
          </w:p>
          <w:p w:rsidR="00AC7CEB" w:rsidRPr="00AC7CEB" w:rsidRDefault="00AC7CEB" w:rsidP="00AC7CEB">
            <w:pPr>
              <w:spacing w:after="0" w:line="240" w:lineRule="auto"/>
              <w:ind w:right="317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</w:p>
          <w:p w:rsidR="00AC7CEB" w:rsidRPr="00AC7CEB" w:rsidRDefault="00AC7CEB" w:rsidP="00AC7CE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 numer PESEL  </w: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</w:rPr>
              <w:object w:dxaOrig="4320" w:dyaOrig="4320">
                <v:shape id="_x0000_i1071" type="#_x0000_t75" style="width:28.5pt;height:18pt" o:ole="">
                  <v:imagedata r:id="rId19" o:title=""/>
                </v:shape>
                <w:control r:id="rId20" w:name="TextBox1414" w:shapeid="_x0000_i1071"/>
              </w:objec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</w:rPr>
              <w:object w:dxaOrig="4320" w:dyaOrig="4320">
                <v:shape id="_x0000_i1073" type="#_x0000_t75" style="width:28.5pt;height:18pt" o:ole="">
                  <v:imagedata r:id="rId19" o:title=""/>
                </v:shape>
                <w:control r:id="rId21" w:name="TextBox1413" w:shapeid="_x0000_i1073"/>
              </w:objec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</w:rPr>
              <w:object w:dxaOrig="4320" w:dyaOrig="4320">
                <v:shape id="_x0000_i1075" type="#_x0000_t75" style="width:28.5pt;height:18pt" o:ole="">
                  <v:imagedata r:id="rId19" o:title=""/>
                </v:shape>
                <w:control r:id="rId22" w:name="TextBox1421" w:shapeid="_x0000_i1075"/>
              </w:objec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</w:rPr>
              <w:object w:dxaOrig="4320" w:dyaOrig="4320">
                <v:shape id="_x0000_i1077" type="#_x0000_t75" style="width:28.5pt;height:18pt" o:ole="">
                  <v:imagedata r:id="rId19" o:title=""/>
                </v:shape>
                <w:control r:id="rId23" w:name="TextBox1431" w:shapeid="_x0000_i1077"/>
              </w:objec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</w:rPr>
              <w:object w:dxaOrig="4320" w:dyaOrig="4320">
                <v:shape id="_x0000_i1079" type="#_x0000_t75" style="width:28.5pt;height:18pt" o:ole="">
                  <v:imagedata r:id="rId19" o:title=""/>
                </v:shape>
                <w:control r:id="rId24" w:name="TextBox1441" w:shapeid="_x0000_i1079"/>
              </w:objec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</w:rPr>
              <w:object w:dxaOrig="4320" w:dyaOrig="4320">
                <v:shape id="_x0000_i1081" type="#_x0000_t75" style="width:28.5pt;height:18pt" o:ole="">
                  <v:imagedata r:id="rId19" o:title=""/>
                </v:shape>
                <w:control r:id="rId25" w:name="TextBox1451" w:shapeid="_x0000_i1081"/>
              </w:objec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</w:rPr>
              <w:object w:dxaOrig="4320" w:dyaOrig="4320">
                <v:shape id="_x0000_i1083" type="#_x0000_t75" style="width:28.5pt;height:18pt" o:ole="">
                  <v:imagedata r:id="rId19" o:title=""/>
                </v:shape>
                <w:control r:id="rId26" w:name="TextBox1461" w:shapeid="_x0000_i1083"/>
              </w:objec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</w:rPr>
              <w:object w:dxaOrig="4320" w:dyaOrig="4320">
                <v:shape id="_x0000_i1085" type="#_x0000_t75" style="width:28.5pt;height:18pt" o:ole="">
                  <v:imagedata r:id="rId19" o:title=""/>
                </v:shape>
                <w:control r:id="rId27" w:name="TextBox1471" w:shapeid="_x0000_i1085"/>
              </w:objec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</w:rPr>
              <w:object w:dxaOrig="4320" w:dyaOrig="4320">
                <v:shape id="_x0000_i1087" type="#_x0000_t75" style="width:28.5pt;height:18pt" o:ole="">
                  <v:imagedata r:id="rId19" o:title=""/>
                </v:shape>
                <w:control r:id="rId28" w:name="TextBox1481" w:shapeid="_x0000_i1087"/>
              </w:objec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</w:rPr>
              <w:object w:dxaOrig="4320" w:dyaOrig="4320">
                <v:shape id="_x0000_i1089" type="#_x0000_t75" style="width:28.5pt;height:18pt" o:ole="">
                  <v:imagedata r:id="rId19" o:title=""/>
                </v:shape>
                <w:control r:id="rId29" w:name="TextBox1491" w:shapeid="_x0000_i1089"/>
              </w:objec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</w:rPr>
              <w:object w:dxaOrig="4320" w:dyaOrig="4320">
                <v:shape id="_x0000_i1091" type="#_x0000_t75" style="width:28.5pt;height:18pt" o:ole="">
                  <v:imagedata r:id="rId19" o:title=""/>
                </v:shape>
                <w:control r:id="rId30" w:name="TextBox14101" w:shapeid="_x0000_i1091"/>
              </w:objec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</w:rPr>
              <w:object w:dxaOrig="4320" w:dyaOrig="4320">
                <v:shape id="_x0000_i1093" type="#_x0000_t75" style="width:28.5pt;height:18pt" o:ole="">
                  <v:imagedata r:id="rId19" o:title=""/>
                </v:shape>
                <w:control r:id="rId31" w:name="TextBox14121" w:shapeid="_x0000_i1093"/>
              </w:objec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</w:rPr>
              <w:object w:dxaOrig="4320" w:dyaOrig="4320">
                <v:shape id="_x0000_i1095" type="#_x0000_t75" style="width:28.5pt;height:18pt" o:ole="">
                  <v:imagedata r:id="rId19" o:title=""/>
                </v:shape>
                <w:control r:id="rId32" w:name="TextBox14111" w:shapeid="_x0000_i1095"/>
              </w:object>
            </w:r>
          </w:p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oświadczam, że zgodnie z treścią art.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7a</w: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ust.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</w: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pkt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7</w: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i art. 7d ust. 1 pkt 2</w:t>
            </w:r>
            <w:r w:rsidR="000E7F1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ustawy z dnia 6 września 2001 r. </w:t>
            </w:r>
            <w:r w:rsidRPr="00AC7CEB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o transporcie drogowym</w: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(Dz. U. z 201</w:t>
            </w:r>
            <w:r w:rsidR="000E7F1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9</w: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r. poz. </w:t>
            </w:r>
            <w:r w:rsidR="007F5A33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2140</w:t>
            </w:r>
            <w:r w:rsidR="004E12B0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="004E12B0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="004E12B0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. zm.</w:t>
            </w:r>
            <w:bookmarkStart w:id="0" w:name="_GoBack"/>
            <w:bookmarkEnd w:id="0"/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): </w:t>
            </w:r>
          </w:p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AC7CEB" w:rsidRPr="00AC7CEB" w:rsidRDefault="00AC7CEB" w:rsidP="00AC7C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nie </w:t>
            </w:r>
            <w:r w:rsidRPr="00AC7CEB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wydano 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wobec mnie </w:t>
            </w:r>
            <w:r w:rsidRPr="00AC7CEB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wykonaln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ej</w:t>
            </w:r>
            <w:r w:rsidRPr="00AC7CEB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 decyzj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i</w:t>
            </w:r>
            <w:r w:rsidRPr="00AC7CEB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 administracyjn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ej</w:t>
            </w:r>
            <w:r w:rsidRPr="00AC7CEB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 lub wykonaln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ych</w:t>
            </w:r>
            <w:r w:rsidRPr="00AC7CEB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 decyzj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i</w:t>
            </w:r>
            <w:r w:rsidRPr="00AC7CEB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 administracyjn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ych</w:t>
            </w:r>
            <w:r w:rsidRPr="00AC7CEB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 o nałożeniu kary pieniężnej za naruszenie określone w załączniku nr 3 lub 4 do niniejszej ustawy lub załączniku nr 1 do ustawy z dnia 19 sierpnia 2011 r. o przewozie towarów niebezpiecznych, które zgodnie z załącznikiem I do rozporządzenia Komisji (UE) 2016/403 z dnia 18 marca 2016 r. uzupełniającego rozporządzenie Parlamentu Europejskiego i Rady (WE) nr 1071/2009 w odniesieniu do klasyfikacji poważnych naruszeń przepisów unijnych, które mogą prowadzić do utraty dobrej reputacji przez przewoźnika drogowego, oraz zmieniającego załącznik III do dyrektywy 2006/22/WE Parlamentu Europejskiego i Rady (</w:t>
            </w:r>
            <w:hyperlink r:id="rId33" w:tgtFrame="_blank" w:tooltip="ROZPORZĄDZENIE KOMISJI (UE) 2016/403 z dnia 18 marca 2016 r. uzupełniające rozporządzenie Parlamentu Europejskiego i Rady (WE) nr 1071/2009 w odniesieniu do klasyfikacji poważnych naruszeń przepisów unijnych, które mogą prowadzić do utraty dobrej reputacji prz" w:history="1">
              <w:r w:rsidRPr="00AC7CEB">
                <w:rPr>
                  <w:rStyle w:val="Hipercze"/>
                  <w:rFonts w:ascii="Verdana" w:eastAsia="Times New Roman" w:hAnsi="Verdana" w:cs="Times New Roman"/>
                  <w:bCs/>
                  <w:color w:val="auto"/>
                  <w:sz w:val="18"/>
                  <w:szCs w:val="18"/>
                  <w:lang w:eastAsia="pl-PL"/>
                </w:rPr>
                <w:t>Dz. Urz. UE L 74 z 19.03.2016, str. 8</w:t>
              </w:r>
            </w:hyperlink>
            <w:r w:rsidRPr="00AC7CEB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), zwanego dalej „rozporządzeniem Komisji (UE) 2016/403”, 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które </w:t>
            </w:r>
            <w:r w:rsidRPr="00AC7CEB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zostało zakwalifikowane jako poważne naruszenie lub bardzo poważne naruszenie, jeżeli częstotliwość występowania naruszeń, zgodnie z załącznikiem II do tego rozporządzenia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, wymaga oceny dobrej reputacji;</w:t>
            </w:r>
          </w:p>
          <w:p w:rsidR="00AC7CEB" w:rsidRPr="00AC7CEB" w:rsidRDefault="00AC7CEB" w:rsidP="00AC7C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nie </w:t>
            </w:r>
            <w:r w:rsidRPr="00AC7CEB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wydano wykonaln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ej</w:t>
            </w:r>
            <w:r w:rsidRPr="00AC7CEB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 decyzj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i</w:t>
            </w:r>
            <w:r w:rsidRPr="00AC7CEB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 administracyjn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ej</w:t>
            </w:r>
            <w:r w:rsidRPr="00AC7CEB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 o nałożeniu kary pieniężnej za naruszenie określone w załączniku nr 3 lub 4 do niniejszej ustawy lub załączniku nr 1 do ustawy z dnia 19 sierpnia 2011 r. o przewozie towarów niebezpiecznych, które zgodnie z załącznikiem I do rozporządzenia Komisji (UE) 2016/403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, które</w:t>
            </w:r>
            <w:r w:rsidRPr="00AC7CEB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 zostało zakwalifikowane jako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 najpoważniejsze naruszenie;</w:t>
            </w:r>
          </w:p>
          <w:p w:rsidR="00AC7CEB" w:rsidRPr="00AC7CEB" w:rsidRDefault="00AC7CEB" w:rsidP="00AC7C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nie</w:t>
            </w:r>
            <w:r w:rsidRPr="00AC7CEB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 orzeczono lub 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nie </w:t>
            </w:r>
            <w:r w:rsidRPr="00AC7CEB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nałożono prawomocnie kar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y</w:t>
            </w:r>
            <w:r w:rsidRPr="00AC7CEB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 w innym państwie członkowskim Unii Europejskiej lub państwie członkowskim Europejskiego Porozumienia o Wolnym Handlu (EFTA) – stronie umowy o Europejskim Obszarze Gospodarczym za naruszenie, które zgodnie z załącznikiem I do rozporządzenia Komisji (UE) 2016/403 zostało zakwalifikowane jako:</w:t>
            </w:r>
          </w:p>
          <w:p w:rsidR="00AC7CEB" w:rsidRPr="00AC7CEB" w:rsidRDefault="00AC7CEB" w:rsidP="00AC7C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AC7CEB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– najpoważniejsze naruszenie,</w:t>
            </w:r>
          </w:p>
          <w:p w:rsidR="00AC7CEB" w:rsidRPr="00AC7CEB" w:rsidRDefault="00AC7CEB" w:rsidP="00AC7C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AC7CEB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– poważne naruszenie lub bardzo poważne naruszenie, jeżeli częstotliwość występowania naruszeń, zgodnie z załącznikiem II do tego rozporządzenia, wymaga oceny dobrej reputacji.</w:t>
            </w:r>
          </w:p>
          <w:p w:rsidR="00AC7CEB" w:rsidRPr="00AC7CEB" w:rsidRDefault="00AC7CEB" w:rsidP="00AC7CEB">
            <w:pPr>
              <w:spacing w:after="0" w:line="240" w:lineRule="auto"/>
              <w:ind w:left="720"/>
              <w:contextualSpacing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</w:p>
          <w:p w:rsidR="00AC7CEB" w:rsidRPr="00AC7CEB" w:rsidRDefault="00AC7CEB" w:rsidP="00AC7CEB">
            <w:pPr>
              <w:spacing w:after="0" w:line="240" w:lineRule="auto"/>
              <w:ind w:left="72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:rsidR="00AC7CEB" w:rsidRPr="00AC7CEB" w:rsidRDefault="00AC7CEB" w:rsidP="00AC7CE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C7CE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</w:p>
    <w:p w:rsidR="00AC7CEB" w:rsidRPr="00AC7CEB" w:rsidRDefault="00AC7CEB" w:rsidP="00AC7CEB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AC7CEB">
        <w:rPr>
          <w:rFonts w:ascii="Verdana" w:eastAsia="Times New Roman" w:hAnsi="Verdana" w:cs="Times New Roman"/>
          <w:b/>
          <w:sz w:val="18"/>
          <w:szCs w:val="18"/>
          <w:lang w:eastAsia="pl-PL"/>
        </w:rPr>
        <w:t>OŚWIADCZAM, ŻE JESTEM ŚWIADOMY(A) ODPOWIEDZIALNOŚCI KARNEJ ZA ZŁOŻENIE FAŁSZYWEGO OŚWIADCZENIA</w:t>
      </w:r>
    </w:p>
    <w:p w:rsidR="00AC7CEB" w:rsidRPr="00AC7CEB" w:rsidRDefault="00AC7CEB" w:rsidP="00AC7CEB">
      <w:pPr>
        <w:spacing w:before="240"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AC7CEB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Podstawa prawna:  </w:t>
      </w:r>
    </w:p>
    <w:p w:rsidR="00AC7CEB" w:rsidRPr="00AC7CEB" w:rsidRDefault="00AC7CEB" w:rsidP="00AC7CE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AC7CEB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Art. </w:t>
      </w:r>
      <w:r>
        <w:rPr>
          <w:rFonts w:ascii="Verdana" w:eastAsia="Times New Roman" w:hAnsi="Verdana" w:cs="Times New Roman"/>
          <w:i/>
          <w:sz w:val="18"/>
          <w:szCs w:val="18"/>
          <w:lang w:eastAsia="pl-PL"/>
        </w:rPr>
        <w:t>7a</w:t>
      </w:r>
      <w:r w:rsidRPr="00AC7CEB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ust. </w:t>
      </w:r>
      <w:r>
        <w:rPr>
          <w:rFonts w:ascii="Verdana" w:eastAsia="Times New Roman" w:hAnsi="Verdana" w:cs="Times New Roman"/>
          <w:i/>
          <w:sz w:val="18"/>
          <w:szCs w:val="18"/>
          <w:lang w:eastAsia="pl-PL"/>
        </w:rPr>
        <w:t>3</w:t>
      </w:r>
      <w:r w:rsidRPr="00AC7CEB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i/>
          <w:sz w:val="18"/>
          <w:szCs w:val="18"/>
          <w:lang w:eastAsia="pl-PL"/>
        </w:rPr>
        <w:t>pkt 7</w:t>
      </w:r>
      <w:r w:rsidRPr="00AC7CEB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i </w:t>
      </w:r>
      <w:r>
        <w:rPr>
          <w:rFonts w:ascii="Verdana" w:eastAsia="Times New Roman" w:hAnsi="Verdana" w:cs="Times New Roman"/>
          <w:i/>
          <w:sz w:val="18"/>
          <w:szCs w:val="18"/>
          <w:lang w:eastAsia="pl-PL"/>
        </w:rPr>
        <w:t>ust. 6</w:t>
      </w:r>
      <w:r w:rsidRPr="00AC7CEB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ustawy z dnia  6 września 2001 r. o transporcie drogowym </w:t>
      </w:r>
    </w:p>
    <w:p w:rsidR="00AC7CEB" w:rsidRPr="00AC7CEB" w:rsidRDefault="00AC7CEB" w:rsidP="00AC7CE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AC7CEB">
        <w:rPr>
          <w:rFonts w:ascii="Verdana" w:eastAsia="Times New Roman" w:hAnsi="Verdana" w:cs="Times New Roman"/>
          <w:i/>
          <w:sz w:val="18"/>
          <w:szCs w:val="18"/>
          <w:lang w:eastAsia="pl-PL"/>
        </w:rPr>
        <w:t>(Dz. U. z 201</w:t>
      </w:r>
      <w:r w:rsidR="00740E40">
        <w:rPr>
          <w:rFonts w:ascii="Verdana" w:eastAsia="Times New Roman" w:hAnsi="Verdana" w:cs="Times New Roman"/>
          <w:i/>
          <w:sz w:val="18"/>
          <w:szCs w:val="18"/>
          <w:lang w:eastAsia="pl-PL"/>
        </w:rPr>
        <w:t>9</w:t>
      </w:r>
      <w:r w:rsidRPr="00AC7CEB">
        <w:rPr>
          <w:rFonts w:ascii="Verdana" w:eastAsia="Times New Roman" w:hAnsi="Verdana" w:cs="Times New Roman"/>
          <w:i/>
          <w:sz w:val="18"/>
          <w:szCs w:val="18"/>
          <w:lang w:eastAsia="pl-PL"/>
        </w:rPr>
        <w:t> r. poz. </w:t>
      </w:r>
      <w:r w:rsidR="007616B7">
        <w:rPr>
          <w:rFonts w:ascii="Verdana" w:eastAsia="Times New Roman" w:hAnsi="Verdana" w:cs="Times New Roman"/>
          <w:i/>
          <w:sz w:val="18"/>
          <w:szCs w:val="18"/>
          <w:lang w:eastAsia="pl-PL"/>
        </w:rPr>
        <w:t>2140</w:t>
      </w:r>
      <w:r w:rsidR="001646FD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z </w:t>
      </w:r>
      <w:proofErr w:type="spellStart"/>
      <w:r w:rsidR="001646FD">
        <w:rPr>
          <w:rFonts w:ascii="Verdana" w:eastAsia="Times New Roman" w:hAnsi="Verdana" w:cs="Times New Roman"/>
          <w:i/>
          <w:sz w:val="18"/>
          <w:szCs w:val="18"/>
          <w:lang w:eastAsia="pl-PL"/>
        </w:rPr>
        <w:t>późn</w:t>
      </w:r>
      <w:proofErr w:type="spellEnd"/>
      <w:r w:rsidR="001646FD">
        <w:rPr>
          <w:rFonts w:ascii="Verdana" w:eastAsia="Times New Roman" w:hAnsi="Verdana" w:cs="Times New Roman"/>
          <w:i/>
          <w:sz w:val="18"/>
          <w:szCs w:val="18"/>
          <w:lang w:eastAsia="pl-PL"/>
        </w:rPr>
        <w:t>. zm.</w:t>
      </w:r>
      <w:r w:rsidRPr="00AC7CEB">
        <w:rPr>
          <w:rFonts w:ascii="Verdana" w:eastAsia="Times New Roman" w:hAnsi="Verdana" w:cs="Times New Roman"/>
          <w:i/>
          <w:sz w:val="18"/>
          <w:szCs w:val="18"/>
          <w:lang w:eastAsia="pl-PL"/>
        </w:rPr>
        <w:t>)</w:t>
      </w:r>
    </w:p>
    <w:p w:rsidR="00AC7CEB" w:rsidRPr="00AC7CEB" w:rsidRDefault="00AC7CEB" w:rsidP="00AC7CEB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AC7CEB" w:rsidRPr="00AC7CEB" w:rsidRDefault="00AC7CEB" w:rsidP="00AC7CE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462333" w:rsidRPr="00462333" w:rsidRDefault="00462333" w:rsidP="00462333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62333">
        <w:rPr>
          <w:rFonts w:ascii="Verdana" w:eastAsia="Times New Roman" w:hAnsi="Verdana" w:cs="Times New Roman"/>
          <w:sz w:val="18"/>
          <w:szCs w:val="18"/>
          <w:lang w:eastAsia="pl-PL"/>
        </w:rPr>
        <w:t>..........................................................</w:t>
      </w:r>
    </w:p>
    <w:p w:rsidR="00462333" w:rsidRPr="00462333" w:rsidRDefault="00462333" w:rsidP="0046233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</w:pPr>
      <w:r w:rsidRPr="00462333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462333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462333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462333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462333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462333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462333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462333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462333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>Czytelny podpis przedsiębiorcy</w:t>
      </w:r>
      <w:r w:rsidRPr="00462333">
        <w:rPr>
          <w:rFonts w:ascii="Verdana" w:eastAsia="Times New Roman" w:hAnsi="Verdana" w:cs="Times New Roman"/>
          <w:b/>
          <w:i/>
          <w:sz w:val="18"/>
          <w:szCs w:val="18"/>
          <w:vertAlign w:val="superscript"/>
          <w:lang w:eastAsia="pl-PL"/>
        </w:rPr>
        <w:t>*</w:t>
      </w:r>
    </w:p>
    <w:p w:rsidR="00462333" w:rsidRPr="00462333" w:rsidRDefault="00462333" w:rsidP="0046233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</w:pPr>
    </w:p>
    <w:p w:rsidR="00462333" w:rsidRPr="00462333" w:rsidRDefault="00462333" w:rsidP="0046233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</w:pPr>
      <w:r w:rsidRPr="00462333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>*</w:t>
      </w:r>
      <w:r w:rsidRPr="00462333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Osoby będące członkami organu zarządzającego osoby prawnej, osoby zarządzające spółką jawną lub komandytową  (zgodnie z zasadą reprezentacji określoną w KRS) lub osoby prowadzące działalność gospodarczą. </w:t>
      </w:r>
    </w:p>
    <w:p w:rsidR="00AC7CEB" w:rsidRPr="00AC7CEB" w:rsidRDefault="00AC7CEB" w:rsidP="00AC7CE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 New Roman"/>
          <w:i/>
          <w:sz w:val="16"/>
          <w:szCs w:val="16"/>
          <w:lang w:eastAsia="pl-PL"/>
        </w:rPr>
      </w:pPr>
    </w:p>
    <w:p w:rsidR="00EB7F07" w:rsidRDefault="004E12B0"/>
    <w:sectPr w:rsidR="00EB7F07" w:rsidSect="0012062A">
      <w:pgSz w:w="11906" w:h="16838"/>
      <w:pgMar w:top="568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DC0" w:rsidRDefault="00583DC0" w:rsidP="00583DC0">
      <w:pPr>
        <w:spacing w:after="0" w:line="240" w:lineRule="auto"/>
      </w:pPr>
      <w:r>
        <w:separator/>
      </w:r>
    </w:p>
  </w:endnote>
  <w:endnote w:type="continuationSeparator" w:id="0">
    <w:p w:rsidR="00583DC0" w:rsidRDefault="00583DC0" w:rsidP="0058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DC0" w:rsidRDefault="00583DC0" w:rsidP="00583DC0">
      <w:pPr>
        <w:spacing w:after="0" w:line="240" w:lineRule="auto"/>
      </w:pPr>
      <w:r>
        <w:separator/>
      </w:r>
    </w:p>
  </w:footnote>
  <w:footnote w:type="continuationSeparator" w:id="0">
    <w:p w:rsidR="00583DC0" w:rsidRDefault="00583DC0" w:rsidP="00583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B0A14"/>
    <w:multiLevelType w:val="hybridMultilevel"/>
    <w:tmpl w:val="97ECB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EB"/>
    <w:rsid w:val="000E7F1A"/>
    <w:rsid w:val="001646FD"/>
    <w:rsid w:val="00462333"/>
    <w:rsid w:val="004E12B0"/>
    <w:rsid w:val="00583DC0"/>
    <w:rsid w:val="00740E40"/>
    <w:rsid w:val="007616B7"/>
    <w:rsid w:val="007F5A33"/>
    <w:rsid w:val="00AA218F"/>
    <w:rsid w:val="00AC7CEB"/>
    <w:rsid w:val="00EC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7CE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3D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3D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3D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7CE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3D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3D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3D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hyperlink" Target="file:///C:\dok\tresc,E0L.2016.074.0000080,ROZPORZADZENIE-KOMISJI-UE-2016-403-z-dnia-18-marca-2016-r-uzupelniajace-rozporzadzenie-Parlamentu-Europejskiego-i-Rady-WE-nr-1071-2009-w-odniesieniu-do-klasyfikacji-powaznych-naruszen-przepisow.html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7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29E5-3E9D-4832-A3DA-C8AB1F06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Starzewski</dc:creator>
  <cp:lastModifiedBy>Artur Starzewski</cp:lastModifiedBy>
  <cp:revision>9</cp:revision>
  <cp:lastPrinted>2019-12-02T07:50:00Z</cp:lastPrinted>
  <dcterms:created xsi:type="dcterms:W3CDTF">2018-12-03T14:07:00Z</dcterms:created>
  <dcterms:modified xsi:type="dcterms:W3CDTF">2020-03-30T11:10:00Z</dcterms:modified>
</cp:coreProperties>
</file>