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8A7D48" w:rsidP="007F7CC2">
            <w:r>
              <w:fldChar w:fldCharType="begin">
                <w:ffData>
                  <w:name w:val="Tekst1"/>
                  <w:enabled/>
                  <w:calcOnExit w:val="0"/>
                  <w:textInput/>
                </w:ffData>
              </w:fldChar>
            </w:r>
            <w:bookmarkStart w:id="0" w:name="Tekst1"/>
            <w:r w:rsidR="00BB70BE">
              <w:instrText xml:space="preserve"> FORMTEXT </w:instrText>
            </w:r>
            <w:r>
              <w:fldChar w:fldCharType="separate"/>
            </w:r>
            <w:r w:rsidR="000A534A">
              <w:t>14</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8A7D48" w:rsidP="007F7CC2">
            <w:r>
              <w:fldChar w:fldCharType="begin">
                <w:ffData>
                  <w:name w:val="Tekst2"/>
                  <w:enabled/>
                  <w:calcOnExit w:val="0"/>
                  <w:textInput/>
                </w:ffData>
              </w:fldChar>
            </w:r>
            <w:bookmarkStart w:id="1" w:name="Tekst2"/>
            <w:r w:rsidR="00BB70BE">
              <w:instrText xml:space="preserve"> FORMTEXT </w:instrText>
            </w:r>
            <w:r>
              <w:fldChar w:fldCharType="separate"/>
            </w:r>
            <w:r w:rsidR="004D469D">
              <w:t>Skargi i wnioski</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0A534A" w:rsidP="000A534A">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8A7D4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8A7D48"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8A7D48"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8A7D48"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8A7D48"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8A7D48"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8A7D48"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8A7D48"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8A7D48"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p w:rsidR="006725CF"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6725CF" w:rsidRDefault="008A7D48"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2B091E">
              <w:t>U</w:t>
            </w:r>
            <w:r w:rsidR="002B091E">
              <w:rPr>
                <w:noProof/>
              </w:rPr>
              <w:t>stawa z dnia 14 czerwca 1960r. Kodeks Postępowania Administracyjnego tj.Dz.U.201</w:t>
            </w:r>
            <w:r w:rsidR="000A534A">
              <w:rPr>
                <w:noProof/>
              </w:rPr>
              <w:t>3</w:t>
            </w:r>
            <w:r w:rsidR="002B091E">
              <w:rPr>
                <w:noProof/>
              </w:rPr>
              <w:t>,poz.</w:t>
            </w:r>
            <w:r w:rsidR="000A534A">
              <w:rPr>
                <w:noProof/>
              </w:rPr>
              <w:t xml:space="preserve">267 </w:t>
            </w:r>
            <w:r w:rsidR="002B091E">
              <w:rPr>
                <w:noProof/>
              </w:rPr>
              <w:t>ze zm.,Rozporządzenie Rady Ministrów z 08 stycznia 202r. w sprawie organizacji przyjmowania i rozpa</w:t>
            </w:r>
            <w:bookmarkStart w:id="3" w:name="_GoBack"/>
            <w:bookmarkEnd w:id="3"/>
            <w:r w:rsidR="002B091E">
              <w:rPr>
                <w:noProof/>
              </w:rPr>
              <w:t>trywania skarg i wniosków Dz.U.z 2002 Nr 5,poz.46</w:t>
            </w:r>
            <w:r>
              <w:fldChar w:fldCharType="end"/>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8A7D48"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8A7D48" w:rsidP="003A4C96">
            <w:r>
              <w:fldChar w:fldCharType="begin">
                <w:ffData>
                  <w:name w:val="Tekst2"/>
                  <w:enabled/>
                  <w:calcOnExit w:val="0"/>
                  <w:textInput/>
                </w:ffData>
              </w:fldChar>
            </w:r>
            <w:r w:rsidR="00BB70BE">
              <w:instrText xml:space="preserve"> FORMTEXT </w:instrText>
            </w:r>
            <w:r>
              <w:fldChar w:fldCharType="separate"/>
            </w:r>
            <w:r w:rsidR="003A4C96">
              <w:rPr>
                <w:noProof/>
              </w:rPr>
              <w:t>wykonywanie zadań</w:t>
            </w:r>
            <w:r w:rsidR="00375925">
              <w:rPr>
                <w:noProof/>
              </w:rPr>
              <w:t xml:space="preserve"> ustawowych</w:t>
            </w:r>
            <w:r w:rsidR="003A4C96">
              <w:rPr>
                <w:noProof/>
              </w:rPr>
              <w:t xml:space="preserve"> </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8A7D48" w:rsidP="00BD5CBC">
            <w:r>
              <w:fldChar w:fldCharType="begin">
                <w:ffData>
                  <w:name w:val="Tekst2"/>
                  <w:enabled/>
                  <w:calcOnExit w:val="0"/>
                  <w:textInput/>
                </w:ffData>
              </w:fldChar>
            </w:r>
            <w:r w:rsidR="00BB70BE">
              <w:instrText xml:space="preserve"> FORMTEXT </w:instrText>
            </w:r>
            <w:r>
              <w:fldChar w:fldCharType="separate"/>
            </w:r>
            <w:r w:rsidR="00BD5CBC">
              <w:rPr>
                <w:noProof/>
              </w:rPr>
              <w:t>osoby prywatne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8A7D48" w:rsidP="002B091E">
            <w:r>
              <w:fldChar w:fldCharType="begin">
                <w:ffData>
                  <w:name w:val="Tekst2"/>
                  <w:enabled/>
                  <w:calcOnExit w:val="0"/>
                  <w:textInput/>
                </w:ffData>
              </w:fldChar>
            </w:r>
            <w:r w:rsidR="00BB70BE">
              <w:instrText xml:space="preserve"> FORMTEXT </w:instrText>
            </w:r>
            <w:r>
              <w:fldChar w:fldCharType="separate"/>
            </w:r>
            <w:r w:rsidR="002B091E">
              <w:rPr>
                <w:noProof/>
              </w:rPr>
              <w:t>Imię i nazwisko</w:t>
            </w:r>
            <w:r w:rsidR="00BD5CBC">
              <w:rPr>
                <w:noProof/>
              </w:rPr>
              <w:t>,</w:t>
            </w:r>
            <w:r w:rsidR="002B091E">
              <w:rPr>
                <w:noProof/>
              </w:rPr>
              <w:t xml:space="preserve"> adres zamieszkania lub przebywania</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8A7D48"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8A7D48"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8A7D48" w:rsidP="002B091E">
            <w:r>
              <w:fldChar w:fldCharType="begin">
                <w:ffData>
                  <w:name w:val="Tekst2"/>
                  <w:enabled/>
                  <w:calcOnExit w:val="0"/>
                  <w:textInput/>
                </w:ffData>
              </w:fldChar>
            </w:r>
            <w:r w:rsidR="00BB70BE">
              <w:instrText xml:space="preserve"> FORMTEXT </w:instrText>
            </w:r>
            <w:r>
              <w:fldChar w:fldCharType="separate"/>
            </w:r>
            <w:r w:rsidR="002B091E">
              <w:rPr>
                <w:noProof/>
              </w:rPr>
              <w:t>eDokWeb</w:t>
            </w:r>
            <w:r>
              <w:fldChar w:fldCharType="end"/>
            </w:r>
          </w:p>
        </w:tc>
      </w:tr>
    </w:tbl>
    <w:p w:rsidR="006725CF" w:rsidRDefault="006725CF"/>
    <w:sectPr w:rsidR="006725CF" w:rsidSect="008A7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5C" w:rsidRDefault="00C9135C" w:rsidP="007F7CC2">
      <w:pPr>
        <w:spacing w:after="0" w:line="240" w:lineRule="auto"/>
      </w:pPr>
      <w:r>
        <w:separator/>
      </w:r>
    </w:p>
  </w:endnote>
  <w:endnote w:type="continuationSeparator" w:id="0">
    <w:p w:rsidR="00C9135C" w:rsidRDefault="00C9135C"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5C" w:rsidRDefault="00C9135C" w:rsidP="007F7CC2">
      <w:pPr>
        <w:spacing w:after="0" w:line="240" w:lineRule="auto"/>
      </w:pPr>
      <w:r>
        <w:separator/>
      </w:r>
    </w:p>
  </w:footnote>
  <w:footnote w:type="continuationSeparator" w:id="0">
    <w:p w:rsidR="00C9135C" w:rsidRDefault="00C9135C"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0A534A"/>
    <w:rsid w:val="00255E9A"/>
    <w:rsid w:val="0026152A"/>
    <w:rsid w:val="0028694F"/>
    <w:rsid w:val="002B091E"/>
    <w:rsid w:val="003037DB"/>
    <w:rsid w:val="00331A4F"/>
    <w:rsid w:val="00375925"/>
    <w:rsid w:val="003A4C96"/>
    <w:rsid w:val="0040119E"/>
    <w:rsid w:val="00443FC2"/>
    <w:rsid w:val="004D469D"/>
    <w:rsid w:val="0060295E"/>
    <w:rsid w:val="00605F78"/>
    <w:rsid w:val="00663B40"/>
    <w:rsid w:val="006725CF"/>
    <w:rsid w:val="006959B4"/>
    <w:rsid w:val="006B7AFB"/>
    <w:rsid w:val="00737F50"/>
    <w:rsid w:val="007F7CC2"/>
    <w:rsid w:val="0083313D"/>
    <w:rsid w:val="008853E5"/>
    <w:rsid w:val="008A7D48"/>
    <w:rsid w:val="008F605B"/>
    <w:rsid w:val="009E4F9A"/>
    <w:rsid w:val="00BB70BE"/>
    <w:rsid w:val="00BD22A1"/>
    <w:rsid w:val="00BD5CBC"/>
    <w:rsid w:val="00BF59BA"/>
    <w:rsid w:val="00C9135C"/>
    <w:rsid w:val="00D9510A"/>
    <w:rsid w:val="00DD6484"/>
    <w:rsid w:val="00E34BA4"/>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D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F0C3E"/>
    <w:rsid w:val="00381963"/>
    <w:rsid w:val="003C3C93"/>
    <w:rsid w:val="003C563A"/>
    <w:rsid w:val="004347DF"/>
    <w:rsid w:val="005A7846"/>
    <w:rsid w:val="00685A2F"/>
    <w:rsid w:val="00B32BBE"/>
    <w:rsid w:val="00BB174D"/>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7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11</cp:revision>
  <dcterms:created xsi:type="dcterms:W3CDTF">2017-11-10T07:42:00Z</dcterms:created>
  <dcterms:modified xsi:type="dcterms:W3CDTF">2017-12-08T10:35:00Z</dcterms:modified>
</cp:coreProperties>
</file>