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E0B" w:rsidRDefault="004A0E0B" w:rsidP="004A0E0B">
      <w:pPr>
        <w:jc w:val="center"/>
        <w:rPr>
          <w:rFonts w:ascii="Arial" w:hAnsi="Arial" w:cs="Arial"/>
          <w:b/>
          <w:sz w:val="20"/>
          <w:szCs w:val="20"/>
        </w:rPr>
      </w:pPr>
      <w:r>
        <w:rPr>
          <w:rFonts w:ascii="Arial" w:hAnsi="Arial" w:cs="Arial"/>
          <w:b/>
          <w:sz w:val="20"/>
          <w:szCs w:val="20"/>
        </w:rPr>
        <w:t>OGŁOSZENIE</w:t>
      </w:r>
    </w:p>
    <w:p w:rsidR="004A0E0B" w:rsidRDefault="004A0E0B" w:rsidP="004A0E0B">
      <w:pPr>
        <w:jc w:val="both"/>
        <w:rPr>
          <w:rFonts w:ascii="Arial" w:hAnsi="Arial" w:cs="Arial"/>
          <w:sz w:val="20"/>
          <w:szCs w:val="20"/>
        </w:rPr>
      </w:pPr>
      <w:r>
        <w:rPr>
          <w:rFonts w:ascii="Arial" w:hAnsi="Arial" w:cs="Arial"/>
          <w:sz w:val="20"/>
          <w:szCs w:val="20"/>
        </w:rPr>
        <w:t xml:space="preserve">Burmistrz Krosna Odrzańskiego ogłasza drugi ustny przetarg nieograniczony na sprzedaż nieruchomości niezabudowanej oznaczonej jako działka o numerze ewidencyjnym 347/4, stanowiącej własność gminy Krosno Odrzańskie, położonej w miejscowości Wężyska. </w:t>
      </w:r>
    </w:p>
    <w:p w:rsidR="004A0E0B" w:rsidRDefault="004A0E0B" w:rsidP="004A0E0B">
      <w:pPr>
        <w:jc w:val="both"/>
        <w:rPr>
          <w:rFonts w:ascii="Arial" w:hAnsi="Arial" w:cs="Arial"/>
          <w:b/>
          <w:sz w:val="20"/>
          <w:szCs w:val="20"/>
        </w:rPr>
      </w:pPr>
      <w:r>
        <w:rPr>
          <w:rFonts w:ascii="Arial" w:hAnsi="Arial" w:cs="Arial"/>
          <w:b/>
          <w:sz w:val="20"/>
          <w:szCs w:val="20"/>
        </w:rPr>
        <w:t>I. Rodzaj nieruchomości:</w:t>
      </w:r>
    </w:p>
    <w:p w:rsidR="004A0E0B" w:rsidRDefault="004A0E0B" w:rsidP="004A0E0B">
      <w:pPr>
        <w:jc w:val="both"/>
        <w:rPr>
          <w:rFonts w:ascii="Arial" w:hAnsi="Arial" w:cs="Arial"/>
          <w:sz w:val="20"/>
          <w:szCs w:val="20"/>
        </w:rPr>
      </w:pPr>
      <w:r>
        <w:rPr>
          <w:rFonts w:ascii="Arial" w:hAnsi="Arial" w:cs="Arial"/>
          <w:sz w:val="20"/>
          <w:szCs w:val="20"/>
        </w:rPr>
        <w:t xml:space="preserve">Nieruchomość gruntowa niezabudowana oznaczona działką nr 347/4 o powierzchni 5900 m² położna </w:t>
      </w:r>
      <w:r>
        <w:rPr>
          <w:rFonts w:ascii="Arial" w:hAnsi="Arial" w:cs="Arial"/>
          <w:sz w:val="20"/>
          <w:szCs w:val="20"/>
        </w:rPr>
        <w:br/>
        <w:t xml:space="preserve">w miejscowości Wężyska. Działka o regularnym kształcie. Rzeźba terenu płaska. Dojazd do działki drogą publiczną. Działka nie jest uzbrojona, w sąsiedztwie przebiegają sieci: wodociągowa i elektroenergetyczna. Zgodnie ze studium uwarunkowań i kierunków zagospodarowania przestrzennego gminy, działka położona jest na obszarze oznaczonym symbolem MRU/MNU – strefa rozwoju zabudowy oraz na obszarze oznaczonym, symbolem R – tereny rolne wyłączone z zabudowy. Pierwszy przetarg odbył się 03 listopada 2016 r. </w:t>
      </w:r>
    </w:p>
    <w:p w:rsidR="004A0E0B" w:rsidRDefault="004A0E0B" w:rsidP="004A0E0B">
      <w:pPr>
        <w:jc w:val="both"/>
        <w:rPr>
          <w:rFonts w:ascii="Arial" w:hAnsi="Arial" w:cs="Arial"/>
          <w:sz w:val="20"/>
          <w:szCs w:val="20"/>
        </w:rPr>
      </w:pPr>
      <w:r>
        <w:rPr>
          <w:rFonts w:ascii="Arial" w:hAnsi="Arial" w:cs="Arial"/>
          <w:sz w:val="20"/>
          <w:szCs w:val="20"/>
        </w:rPr>
        <w:t>Dla danej nieruchomości prowadzona jest księga wieczysta  KW nr ZG1K/00030765/1.</w:t>
      </w:r>
    </w:p>
    <w:p w:rsidR="004A0E0B" w:rsidRDefault="004A0E0B" w:rsidP="004A0E0B">
      <w:pPr>
        <w:jc w:val="both"/>
        <w:rPr>
          <w:rFonts w:ascii="Arial" w:hAnsi="Arial" w:cs="Arial"/>
          <w:b/>
          <w:sz w:val="20"/>
          <w:szCs w:val="20"/>
        </w:rPr>
      </w:pPr>
      <w:r>
        <w:rPr>
          <w:rFonts w:ascii="Arial" w:hAnsi="Arial" w:cs="Arial"/>
          <w:b/>
          <w:sz w:val="20"/>
          <w:szCs w:val="20"/>
        </w:rPr>
        <w:t>II. Nabywca nieruchomości zobowiązuje się do:</w:t>
      </w:r>
    </w:p>
    <w:p w:rsidR="004A0E0B" w:rsidRDefault="004A0E0B" w:rsidP="004A0E0B">
      <w:pPr>
        <w:jc w:val="both"/>
        <w:rPr>
          <w:rFonts w:ascii="Arial" w:eastAsia="Times New Roman" w:hAnsi="Arial" w:cs="Arial"/>
          <w:sz w:val="20"/>
          <w:szCs w:val="20"/>
          <w:lang w:eastAsia="pl-PL"/>
        </w:rPr>
      </w:pPr>
      <w:r>
        <w:rPr>
          <w:rFonts w:ascii="Arial" w:hAnsi="Arial" w:cs="Arial"/>
          <w:sz w:val="20"/>
          <w:szCs w:val="20"/>
        </w:rPr>
        <w:t>Zapoznania się przed przetargiem z istniejącym stanem prawnym i faktycznym nabywanej nieruchomości i przed przystąpieniem do przetargu do złożenia komisji pisemnego oświadczenia o zapoznaniu się ze stanem prawnym i faktycznym nieruchomości oraz warunkami przetargu i przyjęciu ich bez zastrzeżeń, pod rygorem niedopuszczenia tych osób do przetargu oraz do</w:t>
      </w:r>
      <w:r>
        <w:rPr>
          <w:rFonts w:ascii="Arial" w:eastAsia="Times New Roman" w:hAnsi="Arial" w:cs="Arial"/>
          <w:sz w:val="20"/>
          <w:szCs w:val="20"/>
          <w:lang w:eastAsia="pl-PL"/>
        </w:rPr>
        <w:t> załączenia w/w oświadczenia uczestnictwa niżej wymienionych dokumentów i dodatkowych oświadczeń:</w:t>
      </w:r>
    </w:p>
    <w:p w:rsidR="004A0E0B" w:rsidRDefault="004A0E0B" w:rsidP="004A0E0B">
      <w:pPr>
        <w:ind w:left="284" w:hanging="284"/>
        <w:jc w:val="both"/>
        <w:rPr>
          <w:rFonts w:ascii="Arial" w:hAnsi="Arial" w:cs="Arial"/>
          <w:sz w:val="20"/>
          <w:szCs w:val="20"/>
        </w:rPr>
      </w:pPr>
      <w:r>
        <w:rPr>
          <w:rFonts w:ascii="Arial" w:hAnsi="Arial" w:cs="Arial"/>
          <w:sz w:val="20"/>
          <w:szCs w:val="20"/>
        </w:rPr>
        <w:t>1) dowód potwierdzający osobiste prowadzenie przez okres co najmniej 5 lat gospodarstwa rolnego położonego na terenie gminy Krosno Odrzańskie – dowodem jest pisemne oświadczenie prowadzącego to gospodarstwo, poświadczone przez Burmistrza Krosna Odrzańskiego;</w:t>
      </w:r>
    </w:p>
    <w:p w:rsidR="004A0E0B" w:rsidRDefault="004A0E0B" w:rsidP="004A0E0B">
      <w:pPr>
        <w:ind w:left="284" w:hanging="284"/>
        <w:jc w:val="both"/>
        <w:rPr>
          <w:rFonts w:ascii="Arial" w:hAnsi="Arial" w:cs="Arial"/>
          <w:sz w:val="20"/>
          <w:szCs w:val="20"/>
        </w:rPr>
      </w:pPr>
      <w:r>
        <w:rPr>
          <w:rFonts w:ascii="Arial" w:hAnsi="Arial" w:cs="Arial"/>
          <w:sz w:val="20"/>
          <w:szCs w:val="20"/>
        </w:rPr>
        <w:t>2) zaświadczenie o zameldowaniu na pobyt stały przez okres co najmniej 5 lat , na terenie gminy Krosno Odrzańskie ;</w:t>
      </w:r>
    </w:p>
    <w:p w:rsidR="004A0E0B" w:rsidRDefault="004A0E0B" w:rsidP="004A0E0B">
      <w:pPr>
        <w:ind w:left="284" w:hanging="284"/>
        <w:jc w:val="both"/>
        <w:rPr>
          <w:rFonts w:ascii="Arial" w:hAnsi="Arial" w:cs="Arial"/>
          <w:sz w:val="20"/>
          <w:szCs w:val="20"/>
        </w:rPr>
      </w:pPr>
      <w:r>
        <w:rPr>
          <w:rFonts w:ascii="Arial" w:hAnsi="Arial" w:cs="Arial"/>
          <w:sz w:val="20"/>
          <w:szCs w:val="20"/>
        </w:rPr>
        <w:t>3) oświadczenie oferenta, że jest właścicielem, użytkownikiem wieczystym, samoistnym posiadaczem lub dzierżawcą nieruchomości rolnych, których łączna powierzchnia użytków rolnych nie przekracza 300 ha. W oświadczeniu tym należy podać łączną powierzchnię i miejsce położenia nieruchomości rolnych, których oferent jest właścicielem(współwłaścicielem w części ułamkowej – należy podać powierzchnię proporcjonalną do udziału w nieruchomości rolnej; współwłaścicielem w przypadku współwłasności łącznej - należy podać łączną powierzchnię nieruchomości rolnych stanowiących przedmiot współwłasności), użytkownikiem wieczystym, dzierżawcą lub samoistnym posiadaczem. Oświadczenie powinno być poświadczone przez Burmistrza;</w:t>
      </w:r>
    </w:p>
    <w:p w:rsidR="004A0E0B" w:rsidRDefault="004A0E0B" w:rsidP="004A0E0B">
      <w:pPr>
        <w:ind w:left="284" w:hanging="284"/>
        <w:jc w:val="both"/>
        <w:rPr>
          <w:rFonts w:ascii="Arial" w:hAnsi="Arial" w:cs="Arial"/>
          <w:sz w:val="20"/>
          <w:szCs w:val="20"/>
        </w:rPr>
      </w:pPr>
      <w:r>
        <w:rPr>
          <w:rFonts w:ascii="Arial" w:hAnsi="Arial" w:cs="Arial"/>
          <w:sz w:val="20"/>
          <w:szCs w:val="20"/>
        </w:rPr>
        <w:t xml:space="preserve">4) dokumenty potwierdzające kwalifikacje rolnicze oferenta zgodnie z treścią art. 6 ust. 2 pkt 2 i ust. 3 oraz art. 7 ust. 9 ustawy o kształtowaniu ustroju rolnego (Dz. U. z 2012 r. poz. 803 ze zm.) w związku z treścią § 6 i § 7 Rozporządzenia Ministra Rolnictwa i Rozwoju Wsi z dnia 17 stycznia 2012 r. (Dz. U. z 2012 r. poz. 109 ze zm.) w sprawie kwalifikacji rolniczych posiadanych przez osoby wykonujące działalność rolniczą. </w:t>
      </w:r>
    </w:p>
    <w:p w:rsidR="004A0E0B" w:rsidRDefault="004A0E0B" w:rsidP="004A0E0B">
      <w:pPr>
        <w:jc w:val="both"/>
        <w:rPr>
          <w:rFonts w:ascii="Arial" w:hAnsi="Arial" w:cs="Arial"/>
          <w:sz w:val="20"/>
          <w:szCs w:val="20"/>
        </w:rPr>
      </w:pPr>
      <w:r>
        <w:rPr>
          <w:rFonts w:ascii="Arial" w:hAnsi="Arial" w:cs="Arial"/>
          <w:sz w:val="20"/>
          <w:szCs w:val="20"/>
        </w:rPr>
        <w:t>5) potwierdzenie wniesienia wadium;</w:t>
      </w:r>
    </w:p>
    <w:p w:rsidR="004A0E0B" w:rsidRDefault="004A0E0B" w:rsidP="004A0E0B">
      <w:pPr>
        <w:ind w:left="284" w:hanging="284"/>
        <w:jc w:val="both"/>
        <w:rPr>
          <w:rFonts w:ascii="Arial" w:eastAsia="Times New Roman" w:hAnsi="Arial" w:cs="Arial"/>
          <w:sz w:val="20"/>
          <w:szCs w:val="20"/>
          <w:lang w:eastAsia="pl-PL"/>
        </w:rPr>
      </w:pPr>
      <w:r>
        <w:rPr>
          <w:rFonts w:ascii="Arial" w:hAnsi="Arial" w:cs="Arial"/>
          <w:sz w:val="20"/>
          <w:szCs w:val="20"/>
        </w:rPr>
        <w:t>6) osoby fizyczne pozostające w związku małżeńskim i posiadające ustrój wspólności majątkowej – powinny dodatkowo złożyć pisemne oświadczenie współmałżonka, iż wyraża on zgodę na nabycie</w:t>
      </w:r>
      <w:r>
        <w:rPr>
          <w:rFonts w:ascii="Arial" w:eastAsia="Times New Roman" w:hAnsi="Arial" w:cs="Arial"/>
          <w:sz w:val="20"/>
          <w:szCs w:val="20"/>
          <w:lang w:eastAsia="pl-PL"/>
        </w:rPr>
        <w:t xml:space="preserve"> nieruchomości będącej przedmiotem przetargu po cenie wylicytowanej przez współmałżonka przystępującego do przetargu.</w:t>
      </w:r>
    </w:p>
    <w:p w:rsidR="004A0E0B" w:rsidRDefault="004A0E0B" w:rsidP="004A0E0B">
      <w:pPr>
        <w:jc w:val="both"/>
        <w:rPr>
          <w:rFonts w:ascii="Arial" w:hAnsi="Arial" w:cs="Arial"/>
          <w:b/>
          <w:sz w:val="20"/>
          <w:szCs w:val="20"/>
        </w:rPr>
      </w:pPr>
      <w:r>
        <w:rPr>
          <w:rFonts w:ascii="Arial" w:hAnsi="Arial" w:cs="Arial"/>
          <w:b/>
          <w:sz w:val="20"/>
          <w:szCs w:val="20"/>
        </w:rPr>
        <w:lastRenderedPageBreak/>
        <w:t>III. Warunki dotyczące ceny, wadium i postąpienia: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1135"/>
        <w:gridCol w:w="1561"/>
        <w:gridCol w:w="2916"/>
        <w:gridCol w:w="1538"/>
        <w:gridCol w:w="1538"/>
      </w:tblGrid>
      <w:tr w:rsidR="004A0E0B" w:rsidTr="004A0E0B">
        <w:trPr>
          <w:trHeight w:val="578"/>
        </w:trPr>
        <w:tc>
          <w:tcPr>
            <w:tcW w:w="535" w:type="dxa"/>
            <w:tcBorders>
              <w:top w:val="single" w:sz="4" w:space="0" w:color="auto"/>
              <w:left w:val="single" w:sz="4" w:space="0" w:color="auto"/>
              <w:bottom w:val="single" w:sz="4" w:space="0" w:color="auto"/>
              <w:right w:val="single" w:sz="4" w:space="0" w:color="auto"/>
            </w:tcBorders>
            <w:hideMark/>
          </w:tcPr>
          <w:p w:rsidR="004A0E0B" w:rsidRDefault="004A0E0B">
            <w:pPr>
              <w:spacing w:after="0" w:line="240" w:lineRule="auto"/>
              <w:jc w:val="both"/>
              <w:rPr>
                <w:rFonts w:ascii="Arial" w:hAnsi="Arial" w:cs="Arial"/>
                <w:b/>
                <w:sz w:val="20"/>
                <w:szCs w:val="20"/>
              </w:rPr>
            </w:pPr>
            <w:r>
              <w:rPr>
                <w:rFonts w:ascii="Arial" w:hAnsi="Arial" w:cs="Arial"/>
                <w:b/>
                <w:sz w:val="20"/>
                <w:szCs w:val="20"/>
              </w:rPr>
              <w:t>Lp.</w:t>
            </w:r>
          </w:p>
        </w:tc>
        <w:tc>
          <w:tcPr>
            <w:tcW w:w="1135" w:type="dxa"/>
            <w:tcBorders>
              <w:top w:val="single" w:sz="4" w:space="0" w:color="auto"/>
              <w:left w:val="single" w:sz="4" w:space="0" w:color="auto"/>
              <w:bottom w:val="single" w:sz="4" w:space="0" w:color="auto"/>
              <w:right w:val="single" w:sz="4" w:space="0" w:color="auto"/>
            </w:tcBorders>
            <w:hideMark/>
          </w:tcPr>
          <w:p w:rsidR="004A0E0B" w:rsidRDefault="004A0E0B">
            <w:pPr>
              <w:spacing w:after="0" w:line="240" w:lineRule="auto"/>
              <w:jc w:val="both"/>
              <w:rPr>
                <w:rFonts w:ascii="Arial" w:hAnsi="Arial" w:cs="Arial"/>
                <w:b/>
                <w:sz w:val="20"/>
                <w:szCs w:val="20"/>
              </w:rPr>
            </w:pPr>
            <w:r>
              <w:rPr>
                <w:rFonts w:ascii="Arial" w:hAnsi="Arial" w:cs="Arial"/>
                <w:b/>
                <w:sz w:val="20"/>
                <w:szCs w:val="20"/>
              </w:rPr>
              <w:t>Nr działki</w:t>
            </w:r>
          </w:p>
        </w:tc>
        <w:tc>
          <w:tcPr>
            <w:tcW w:w="1561" w:type="dxa"/>
            <w:tcBorders>
              <w:top w:val="single" w:sz="4" w:space="0" w:color="auto"/>
              <w:left w:val="single" w:sz="4" w:space="0" w:color="auto"/>
              <w:bottom w:val="single" w:sz="4" w:space="0" w:color="auto"/>
              <w:right w:val="single" w:sz="4" w:space="0" w:color="auto"/>
            </w:tcBorders>
            <w:hideMark/>
          </w:tcPr>
          <w:p w:rsidR="004A0E0B" w:rsidRDefault="004A0E0B">
            <w:pPr>
              <w:spacing w:after="0" w:line="240" w:lineRule="auto"/>
              <w:jc w:val="both"/>
              <w:rPr>
                <w:rFonts w:ascii="Arial" w:hAnsi="Arial" w:cs="Arial"/>
                <w:b/>
                <w:sz w:val="20"/>
                <w:szCs w:val="20"/>
              </w:rPr>
            </w:pPr>
            <w:r>
              <w:rPr>
                <w:rFonts w:ascii="Arial" w:hAnsi="Arial" w:cs="Arial"/>
                <w:b/>
                <w:sz w:val="20"/>
                <w:szCs w:val="20"/>
              </w:rPr>
              <w:t>Powierzchnia</w:t>
            </w:r>
          </w:p>
          <w:p w:rsidR="004A0E0B" w:rsidRDefault="004A0E0B">
            <w:pPr>
              <w:spacing w:after="0" w:line="240" w:lineRule="auto"/>
              <w:jc w:val="both"/>
              <w:rPr>
                <w:rFonts w:ascii="Arial" w:hAnsi="Arial" w:cs="Arial"/>
                <w:b/>
                <w:sz w:val="20"/>
                <w:szCs w:val="20"/>
              </w:rPr>
            </w:pPr>
            <w:r>
              <w:rPr>
                <w:rFonts w:ascii="Arial" w:hAnsi="Arial" w:cs="Arial"/>
                <w:b/>
                <w:sz w:val="20"/>
                <w:szCs w:val="20"/>
              </w:rPr>
              <w:t>/m²/</w:t>
            </w:r>
          </w:p>
        </w:tc>
        <w:tc>
          <w:tcPr>
            <w:tcW w:w="2916" w:type="dxa"/>
            <w:tcBorders>
              <w:top w:val="single" w:sz="4" w:space="0" w:color="auto"/>
              <w:left w:val="single" w:sz="4" w:space="0" w:color="auto"/>
              <w:bottom w:val="single" w:sz="4" w:space="0" w:color="auto"/>
              <w:right w:val="single" w:sz="4" w:space="0" w:color="auto"/>
            </w:tcBorders>
            <w:hideMark/>
          </w:tcPr>
          <w:p w:rsidR="004A0E0B" w:rsidRDefault="004A0E0B">
            <w:pPr>
              <w:spacing w:after="0" w:line="240" w:lineRule="auto"/>
              <w:jc w:val="both"/>
              <w:rPr>
                <w:rFonts w:ascii="Arial" w:hAnsi="Arial" w:cs="Arial"/>
                <w:b/>
                <w:sz w:val="20"/>
                <w:szCs w:val="20"/>
              </w:rPr>
            </w:pPr>
            <w:r>
              <w:rPr>
                <w:rFonts w:ascii="Arial" w:hAnsi="Arial" w:cs="Arial"/>
                <w:b/>
                <w:sz w:val="20"/>
                <w:szCs w:val="20"/>
              </w:rPr>
              <w:t>Cena wywoławcza</w:t>
            </w:r>
          </w:p>
          <w:p w:rsidR="004A0E0B" w:rsidRDefault="004A0E0B">
            <w:pPr>
              <w:spacing w:after="0" w:line="240" w:lineRule="auto"/>
              <w:jc w:val="both"/>
              <w:rPr>
                <w:rFonts w:ascii="Arial" w:hAnsi="Arial" w:cs="Arial"/>
                <w:b/>
                <w:sz w:val="20"/>
                <w:szCs w:val="20"/>
              </w:rPr>
            </w:pPr>
            <w:r>
              <w:rPr>
                <w:rFonts w:ascii="Arial" w:hAnsi="Arial" w:cs="Arial"/>
                <w:b/>
                <w:sz w:val="20"/>
                <w:szCs w:val="20"/>
              </w:rPr>
              <w:t>/zł/</w:t>
            </w:r>
          </w:p>
        </w:tc>
        <w:tc>
          <w:tcPr>
            <w:tcW w:w="1538" w:type="dxa"/>
            <w:tcBorders>
              <w:top w:val="single" w:sz="4" w:space="0" w:color="auto"/>
              <w:left w:val="single" w:sz="4" w:space="0" w:color="auto"/>
              <w:bottom w:val="single" w:sz="4" w:space="0" w:color="auto"/>
              <w:right w:val="single" w:sz="4" w:space="0" w:color="auto"/>
            </w:tcBorders>
            <w:hideMark/>
          </w:tcPr>
          <w:p w:rsidR="004A0E0B" w:rsidRDefault="004A0E0B">
            <w:pPr>
              <w:spacing w:after="0" w:line="240" w:lineRule="auto"/>
              <w:jc w:val="both"/>
              <w:rPr>
                <w:rFonts w:ascii="Arial" w:hAnsi="Arial" w:cs="Arial"/>
                <w:b/>
                <w:sz w:val="20"/>
                <w:szCs w:val="20"/>
              </w:rPr>
            </w:pPr>
            <w:r>
              <w:rPr>
                <w:rFonts w:ascii="Arial" w:hAnsi="Arial" w:cs="Arial"/>
                <w:b/>
                <w:sz w:val="20"/>
                <w:szCs w:val="20"/>
              </w:rPr>
              <w:t>Wadium</w:t>
            </w:r>
          </w:p>
          <w:p w:rsidR="004A0E0B" w:rsidRDefault="004A0E0B">
            <w:pPr>
              <w:spacing w:after="0" w:line="240" w:lineRule="auto"/>
              <w:jc w:val="both"/>
              <w:rPr>
                <w:rFonts w:ascii="Arial" w:hAnsi="Arial" w:cs="Arial"/>
                <w:b/>
                <w:sz w:val="20"/>
                <w:szCs w:val="20"/>
              </w:rPr>
            </w:pPr>
            <w:r>
              <w:rPr>
                <w:rFonts w:ascii="Arial" w:hAnsi="Arial" w:cs="Arial"/>
                <w:b/>
                <w:sz w:val="20"/>
                <w:szCs w:val="20"/>
              </w:rPr>
              <w:t>/zł/</w:t>
            </w:r>
          </w:p>
        </w:tc>
        <w:tc>
          <w:tcPr>
            <w:tcW w:w="1538" w:type="dxa"/>
            <w:tcBorders>
              <w:top w:val="single" w:sz="4" w:space="0" w:color="auto"/>
              <w:left w:val="single" w:sz="4" w:space="0" w:color="auto"/>
              <w:bottom w:val="single" w:sz="4" w:space="0" w:color="auto"/>
              <w:right w:val="single" w:sz="4" w:space="0" w:color="auto"/>
            </w:tcBorders>
            <w:hideMark/>
          </w:tcPr>
          <w:p w:rsidR="004A0E0B" w:rsidRDefault="004A0E0B">
            <w:pPr>
              <w:spacing w:after="0" w:line="240" w:lineRule="auto"/>
              <w:jc w:val="both"/>
              <w:rPr>
                <w:rFonts w:ascii="Arial" w:hAnsi="Arial" w:cs="Arial"/>
                <w:b/>
                <w:sz w:val="20"/>
                <w:szCs w:val="20"/>
              </w:rPr>
            </w:pPr>
            <w:r>
              <w:rPr>
                <w:rFonts w:ascii="Arial" w:hAnsi="Arial" w:cs="Arial"/>
                <w:b/>
                <w:sz w:val="20"/>
                <w:szCs w:val="20"/>
              </w:rPr>
              <w:t>Minimalne postąpienie /zł/</w:t>
            </w:r>
          </w:p>
        </w:tc>
      </w:tr>
      <w:tr w:rsidR="004A0E0B" w:rsidTr="004A0E0B">
        <w:trPr>
          <w:trHeight w:val="193"/>
        </w:trPr>
        <w:tc>
          <w:tcPr>
            <w:tcW w:w="535" w:type="dxa"/>
            <w:tcBorders>
              <w:top w:val="single" w:sz="4" w:space="0" w:color="auto"/>
              <w:left w:val="single" w:sz="4" w:space="0" w:color="auto"/>
              <w:bottom w:val="single" w:sz="4" w:space="0" w:color="auto"/>
              <w:right w:val="single" w:sz="4" w:space="0" w:color="auto"/>
            </w:tcBorders>
            <w:hideMark/>
          </w:tcPr>
          <w:p w:rsidR="004A0E0B" w:rsidRDefault="004A0E0B">
            <w:pPr>
              <w:spacing w:after="0" w:line="240" w:lineRule="auto"/>
              <w:jc w:val="both"/>
              <w:rPr>
                <w:rFonts w:ascii="Arial" w:hAnsi="Arial" w:cs="Arial"/>
                <w:sz w:val="20"/>
                <w:szCs w:val="20"/>
              </w:rPr>
            </w:pPr>
            <w:r>
              <w:rPr>
                <w:rFonts w:ascii="Arial" w:hAnsi="Arial" w:cs="Arial"/>
                <w:sz w:val="20"/>
                <w:szCs w:val="20"/>
              </w:rPr>
              <w:t>1</w:t>
            </w:r>
          </w:p>
        </w:tc>
        <w:tc>
          <w:tcPr>
            <w:tcW w:w="1135" w:type="dxa"/>
            <w:tcBorders>
              <w:top w:val="single" w:sz="4" w:space="0" w:color="auto"/>
              <w:left w:val="single" w:sz="4" w:space="0" w:color="auto"/>
              <w:bottom w:val="single" w:sz="4" w:space="0" w:color="auto"/>
              <w:right w:val="single" w:sz="4" w:space="0" w:color="auto"/>
            </w:tcBorders>
            <w:hideMark/>
          </w:tcPr>
          <w:p w:rsidR="004A0E0B" w:rsidRDefault="004A0E0B">
            <w:pPr>
              <w:spacing w:after="0" w:line="240" w:lineRule="auto"/>
              <w:jc w:val="both"/>
              <w:rPr>
                <w:rFonts w:ascii="Arial" w:hAnsi="Arial" w:cs="Arial"/>
                <w:sz w:val="20"/>
                <w:szCs w:val="20"/>
              </w:rPr>
            </w:pPr>
            <w:r>
              <w:rPr>
                <w:rFonts w:ascii="Arial" w:hAnsi="Arial" w:cs="Arial"/>
                <w:sz w:val="20"/>
                <w:szCs w:val="20"/>
              </w:rPr>
              <w:t>347/4</w:t>
            </w:r>
          </w:p>
        </w:tc>
        <w:tc>
          <w:tcPr>
            <w:tcW w:w="1561" w:type="dxa"/>
            <w:tcBorders>
              <w:top w:val="single" w:sz="4" w:space="0" w:color="auto"/>
              <w:left w:val="single" w:sz="4" w:space="0" w:color="auto"/>
              <w:bottom w:val="single" w:sz="4" w:space="0" w:color="auto"/>
              <w:right w:val="single" w:sz="4" w:space="0" w:color="auto"/>
            </w:tcBorders>
            <w:hideMark/>
          </w:tcPr>
          <w:p w:rsidR="004A0E0B" w:rsidRDefault="004A0E0B">
            <w:pPr>
              <w:spacing w:after="0" w:line="240" w:lineRule="auto"/>
              <w:jc w:val="both"/>
              <w:rPr>
                <w:rFonts w:ascii="Arial" w:hAnsi="Arial" w:cs="Arial"/>
                <w:sz w:val="20"/>
                <w:szCs w:val="20"/>
              </w:rPr>
            </w:pPr>
            <w:r>
              <w:rPr>
                <w:rFonts w:ascii="Arial" w:hAnsi="Arial" w:cs="Arial"/>
                <w:sz w:val="20"/>
                <w:szCs w:val="20"/>
              </w:rPr>
              <w:t>5900</w:t>
            </w:r>
          </w:p>
        </w:tc>
        <w:tc>
          <w:tcPr>
            <w:tcW w:w="2916" w:type="dxa"/>
            <w:tcBorders>
              <w:top w:val="single" w:sz="4" w:space="0" w:color="auto"/>
              <w:left w:val="single" w:sz="4" w:space="0" w:color="auto"/>
              <w:bottom w:val="single" w:sz="4" w:space="0" w:color="auto"/>
              <w:right w:val="single" w:sz="4" w:space="0" w:color="auto"/>
            </w:tcBorders>
            <w:hideMark/>
          </w:tcPr>
          <w:p w:rsidR="004A0E0B" w:rsidRDefault="004A0E0B">
            <w:pPr>
              <w:spacing w:after="0" w:line="240" w:lineRule="auto"/>
              <w:jc w:val="both"/>
              <w:rPr>
                <w:rFonts w:ascii="Arial" w:hAnsi="Arial" w:cs="Arial"/>
                <w:sz w:val="20"/>
                <w:szCs w:val="20"/>
              </w:rPr>
            </w:pPr>
            <w:r>
              <w:rPr>
                <w:rFonts w:ascii="Arial" w:hAnsi="Arial" w:cs="Arial"/>
                <w:sz w:val="20"/>
                <w:szCs w:val="20"/>
              </w:rPr>
              <w:t xml:space="preserve">43 000,00 </w:t>
            </w:r>
          </w:p>
        </w:tc>
        <w:tc>
          <w:tcPr>
            <w:tcW w:w="1538" w:type="dxa"/>
            <w:tcBorders>
              <w:top w:val="single" w:sz="4" w:space="0" w:color="auto"/>
              <w:left w:val="single" w:sz="4" w:space="0" w:color="auto"/>
              <w:bottom w:val="single" w:sz="4" w:space="0" w:color="auto"/>
              <w:right w:val="single" w:sz="4" w:space="0" w:color="auto"/>
            </w:tcBorders>
            <w:hideMark/>
          </w:tcPr>
          <w:p w:rsidR="004A0E0B" w:rsidRDefault="004A0E0B">
            <w:pPr>
              <w:spacing w:after="0" w:line="240" w:lineRule="auto"/>
              <w:jc w:val="both"/>
              <w:rPr>
                <w:rFonts w:ascii="Arial" w:hAnsi="Arial" w:cs="Arial"/>
                <w:sz w:val="20"/>
                <w:szCs w:val="20"/>
              </w:rPr>
            </w:pPr>
            <w:r>
              <w:rPr>
                <w:rFonts w:ascii="Arial" w:hAnsi="Arial" w:cs="Arial"/>
                <w:sz w:val="20"/>
                <w:szCs w:val="20"/>
              </w:rPr>
              <w:t>4 300,00</w:t>
            </w:r>
          </w:p>
        </w:tc>
        <w:tc>
          <w:tcPr>
            <w:tcW w:w="1538" w:type="dxa"/>
            <w:tcBorders>
              <w:top w:val="single" w:sz="4" w:space="0" w:color="auto"/>
              <w:left w:val="single" w:sz="4" w:space="0" w:color="auto"/>
              <w:bottom w:val="single" w:sz="4" w:space="0" w:color="auto"/>
              <w:right w:val="single" w:sz="4" w:space="0" w:color="auto"/>
            </w:tcBorders>
            <w:hideMark/>
          </w:tcPr>
          <w:p w:rsidR="004A0E0B" w:rsidRDefault="004A0E0B">
            <w:pPr>
              <w:spacing w:after="0" w:line="240" w:lineRule="auto"/>
              <w:jc w:val="center"/>
              <w:rPr>
                <w:rFonts w:ascii="Arial" w:hAnsi="Arial" w:cs="Arial"/>
                <w:sz w:val="20"/>
                <w:szCs w:val="20"/>
              </w:rPr>
            </w:pPr>
            <w:r>
              <w:rPr>
                <w:rFonts w:ascii="Arial" w:hAnsi="Arial" w:cs="Arial"/>
                <w:sz w:val="20"/>
                <w:szCs w:val="20"/>
              </w:rPr>
              <w:t>430,00</w:t>
            </w:r>
          </w:p>
        </w:tc>
      </w:tr>
    </w:tbl>
    <w:p w:rsidR="004A0E0B" w:rsidRDefault="004A0E0B" w:rsidP="004A0E0B">
      <w:pPr>
        <w:jc w:val="both"/>
        <w:rPr>
          <w:rFonts w:ascii="Arial" w:hAnsi="Arial" w:cs="Arial"/>
          <w:sz w:val="20"/>
          <w:szCs w:val="20"/>
        </w:rPr>
      </w:pPr>
    </w:p>
    <w:p w:rsidR="004A0E0B" w:rsidRDefault="004A0E0B" w:rsidP="004A0E0B">
      <w:pPr>
        <w:pStyle w:val="Akapitzlist"/>
        <w:numPr>
          <w:ilvl w:val="0"/>
          <w:numId w:val="1"/>
        </w:numPr>
        <w:jc w:val="both"/>
        <w:rPr>
          <w:rFonts w:ascii="Arial" w:hAnsi="Arial" w:cs="Arial"/>
          <w:sz w:val="20"/>
          <w:szCs w:val="20"/>
        </w:rPr>
      </w:pPr>
      <w:r>
        <w:rPr>
          <w:rFonts w:ascii="Arial" w:hAnsi="Arial" w:cs="Arial"/>
          <w:sz w:val="20"/>
          <w:szCs w:val="20"/>
        </w:rPr>
        <w:t xml:space="preserve">Cena przedmiotowej nieruchomości ustalona przez rzeczoznawcę majątkowego zgodna </w:t>
      </w:r>
      <w:r>
        <w:rPr>
          <w:rFonts w:ascii="Arial" w:hAnsi="Arial" w:cs="Arial"/>
          <w:sz w:val="20"/>
          <w:szCs w:val="20"/>
        </w:rPr>
        <w:br/>
        <w:t xml:space="preserve">jest z art. 67 ust. 1 ustawy o gospodarce nieruchomościami. </w:t>
      </w:r>
    </w:p>
    <w:p w:rsidR="004A0E0B" w:rsidRDefault="004A0E0B" w:rsidP="004A0E0B">
      <w:pPr>
        <w:pStyle w:val="Akapitzlist"/>
        <w:numPr>
          <w:ilvl w:val="0"/>
          <w:numId w:val="1"/>
        </w:numPr>
        <w:jc w:val="both"/>
        <w:rPr>
          <w:rFonts w:ascii="Arial" w:hAnsi="Arial" w:cs="Arial"/>
          <w:sz w:val="20"/>
          <w:szCs w:val="20"/>
        </w:rPr>
      </w:pPr>
      <w:r>
        <w:rPr>
          <w:rFonts w:ascii="Arial" w:hAnsi="Arial" w:cs="Arial"/>
          <w:sz w:val="20"/>
          <w:szCs w:val="20"/>
        </w:rPr>
        <w:t xml:space="preserve">Do ceny sprzedaży doliczone zostaną koszty przygotowania dokumentacji formalno-prawnej                 w wysokości 180,00 zł (słownie: sto siedemdziesiąt złotych). </w:t>
      </w:r>
    </w:p>
    <w:p w:rsidR="004A0E0B" w:rsidRDefault="004A0E0B" w:rsidP="004A0E0B">
      <w:pPr>
        <w:pStyle w:val="Akapitzlist"/>
        <w:numPr>
          <w:ilvl w:val="0"/>
          <w:numId w:val="1"/>
        </w:numPr>
        <w:jc w:val="both"/>
        <w:rPr>
          <w:rFonts w:ascii="Arial" w:hAnsi="Arial" w:cs="Arial"/>
          <w:sz w:val="20"/>
          <w:szCs w:val="20"/>
        </w:rPr>
      </w:pPr>
      <w:r>
        <w:rPr>
          <w:rStyle w:val="Pogrubienie"/>
          <w:rFonts w:ascii="Arial" w:hAnsi="Arial" w:cs="Arial"/>
          <w:sz w:val="20"/>
          <w:szCs w:val="20"/>
        </w:rPr>
        <w:t xml:space="preserve">Cena nieruchomości nie zawiera kosztów wznowienia znaków granicznych. </w:t>
      </w:r>
      <w:r>
        <w:rPr>
          <w:rFonts w:ascii="Arial" w:hAnsi="Arial" w:cs="Arial"/>
          <w:b/>
          <w:bCs/>
          <w:sz w:val="20"/>
          <w:szCs w:val="20"/>
        </w:rPr>
        <w:br/>
      </w:r>
      <w:r>
        <w:rPr>
          <w:rFonts w:ascii="Arial" w:hAnsi="Arial" w:cs="Arial"/>
          <w:sz w:val="20"/>
          <w:szCs w:val="20"/>
        </w:rPr>
        <w:t xml:space="preserve">W przypadku ewentualnej potrzeby okazania granic Nabywca ustali warunki tego okazania </w:t>
      </w:r>
      <w:r>
        <w:rPr>
          <w:rFonts w:ascii="Arial" w:hAnsi="Arial" w:cs="Arial"/>
          <w:sz w:val="20"/>
          <w:szCs w:val="20"/>
        </w:rPr>
        <w:br/>
        <w:t>z wybranym przez siebie geodetą. Okazanie granic nastąpi na koszt Nabywcy.</w:t>
      </w:r>
    </w:p>
    <w:p w:rsidR="004A0E0B" w:rsidRDefault="004A0E0B" w:rsidP="004A0E0B">
      <w:pPr>
        <w:pStyle w:val="Akapitzlist"/>
        <w:numPr>
          <w:ilvl w:val="0"/>
          <w:numId w:val="1"/>
        </w:numPr>
        <w:jc w:val="both"/>
        <w:rPr>
          <w:rFonts w:ascii="Arial" w:hAnsi="Arial" w:cs="Arial"/>
          <w:sz w:val="20"/>
          <w:szCs w:val="20"/>
        </w:rPr>
      </w:pPr>
      <w:r>
        <w:rPr>
          <w:rFonts w:ascii="Arial" w:hAnsi="Arial" w:cs="Arial"/>
          <w:sz w:val="20"/>
          <w:szCs w:val="20"/>
        </w:rPr>
        <w:t xml:space="preserve">Korzystanie z wszelkich urządzeń infrastruktury komunalnej i technicznej wymaga uzgodnienia z dysponentami sieci i obciąża całkowicie Nabywcę nieruchomości. </w:t>
      </w:r>
    </w:p>
    <w:p w:rsidR="004A0E0B" w:rsidRDefault="004A0E0B" w:rsidP="004A0E0B">
      <w:pPr>
        <w:pStyle w:val="Akapitzlist"/>
        <w:numPr>
          <w:ilvl w:val="0"/>
          <w:numId w:val="1"/>
        </w:numPr>
        <w:jc w:val="both"/>
        <w:rPr>
          <w:rFonts w:ascii="Arial" w:hAnsi="Arial" w:cs="Arial"/>
          <w:sz w:val="20"/>
          <w:szCs w:val="20"/>
        </w:rPr>
      </w:pPr>
      <w:r>
        <w:rPr>
          <w:rFonts w:ascii="Arial" w:hAnsi="Arial" w:cs="Arial"/>
          <w:sz w:val="20"/>
          <w:szCs w:val="20"/>
        </w:rPr>
        <w:t>Nieruchomość jest wolna od obciążeń i zobowiązań.</w:t>
      </w:r>
    </w:p>
    <w:p w:rsidR="004A0E0B" w:rsidRDefault="004A0E0B" w:rsidP="004A0E0B">
      <w:pPr>
        <w:pStyle w:val="Akapitzlist"/>
        <w:jc w:val="both"/>
        <w:rPr>
          <w:rFonts w:ascii="Arial" w:hAnsi="Arial" w:cs="Arial"/>
          <w:sz w:val="20"/>
          <w:szCs w:val="20"/>
        </w:rPr>
      </w:pPr>
    </w:p>
    <w:p w:rsidR="004A0E0B" w:rsidRDefault="004A0E0B" w:rsidP="004A0E0B">
      <w:pPr>
        <w:pStyle w:val="Akapitzlist"/>
        <w:ind w:left="0"/>
        <w:jc w:val="both"/>
        <w:rPr>
          <w:rFonts w:ascii="Arial" w:hAnsi="Arial" w:cs="Arial"/>
          <w:b/>
          <w:sz w:val="20"/>
          <w:szCs w:val="20"/>
        </w:rPr>
      </w:pPr>
      <w:r>
        <w:rPr>
          <w:rFonts w:ascii="Arial" w:hAnsi="Arial" w:cs="Arial"/>
          <w:b/>
          <w:sz w:val="20"/>
          <w:szCs w:val="20"/>
        </w:rPr>
        <w:t>IV. Warunki udziału w przetargu</w:t>
      </w:r>
    </w:p>
    <w:p w:rsidR="004A0E0B" w:rsidRDefault="004A0E0B" w:rsidP="004A0E0B">
      <w:pPr>
        <w:pStyle w:val="Akapitzlist"/>
        <w:jc w:val="both"/>
        <w:rPr>
          <w:rFonts w:ascii="Arial" w:hAnsi="Arial" w:cs="Arial"/>
          <w:b/>
          <w:sz w:val="20"/>
          <w:szCs w:val="20"/>
        </w:rPr>
      </w:pPr>
    </w:p>
    <w:p w:rsidR="004A0E0B" w:rsidRDefault="004A0E0B" w:rsidP="004A0E0B">
      <w:pPr>
        <w:pStyle w:val="Akapitzlist"/>
        <w:numPr>
          <w:ilvl w:val="0"/>
          <w:numId w:val="2"/>
        </w:numPr>
        <w:jc w:val="both"/>
        <w:rPr>
          <w:rFonts w:ascii="Arial" w:hAnsi="Arial" w:cs="Arial"/>
          <w:sz w:val="20"/>
          <w:szCs w:val="20"/>
        </w:rPr>
      </w:pPr>
      <w:r>
        <w:rPr>
          <w:rFonts w:ascii="Arial" w:hAnsi="Arial" w:cs="Arial"/>
          <w:sz w:val="20"/>
          <w:szCs w:val="20"/>
        </w:rPr>
        <w:t>W przetargu mogą brać udział osoby fizyczne i prawne, które:</w:t>
      </w:r>
    </w:p>
    <w:p w:rsidR="004A0E0B" w:rsidRDefault="004A0E0B" w:rsidP="004A0E0B">
      <w:pPr>
        <w:pStyle w:val="Akapitzlist"/>
        <w:jc w:val="both"/>
        <w:rPr>
          <w:rFonts w:ascii="Arial" w:hAnsi="Arial" w:cs="Arial"/>
          <w:sz w:val="20"/>
          <w:szCs w:val="20"/>
        </w:rPr>
      </w:pPr>
      <w:r>
        <w:rPr>
          <w:rFonts w:ascii="Arial" w:hAnsi="Arial" w:cs="Arial"/>
          <w:sz w:val="20"/>
          <w:szCs w:val="20"/>
        </w:rPr>
        <w:t xml:space="preserve">- wpłacą </w:t>
      </w:r>
      <w:r>
        <w:rPr>
          <w:rFonts w:ascii="Arial" w:hAnsi="Arial" w:cs="Arial"/>
          <w:b/>
          <w:sz w:val="20"/>
          <w:szCs w:val="20"/>
        </w:rPr>
        <w:t xml:space="preserve">wadium w nieprzekraczalnym terminie, najpóźniej do dnia 24 marca 2017 r. </w:t>
      </w:r>
      <w:r>
        <w:rPr>
          <w:rFonts w:ascii="Arial" w:hAnsi="Arial" w:cs="Arial"/>
          <w:sz w:val="20"/>
          <w:szCs w:val="20"/>
        </w:rPr>
        <w:t xml:space="preserve">na konto Urzędu Miasta w Krośnie Odrzańskim Bank Zachodni WBK S.A. I Oddział Krosno Odrzańskie Nr 64 1090 1551 0000 0000 5500 1056, </w:t>
      </w:r>
    </w:p>
    <w:p w:rsidR="004A0E0B" w:rsidRDefault="004A0E0B" w:rsidP="004A0E0B">
      <w:pPr>
        <w:pStyle w:val="Akapitzlist"/>
        <w:jc w:val="both"/>
        <w:rPr>
          <w:rFonts w:ascii="Arial" w:hAnsi="Arial" w:cs="Arial"/>
          <w:sz w:val="20"/>
          <w:szCs w:val="20"/>
        </w:rPr>
      </w:pPr>
      <w:r>
        <w:rPr>
          <w:rFonts w:ascii="Arial" w:hAnsi="Arial" w:cs="Arial"/>
          <w:sz w:val="20"/>
          <w:szCs w:val="20"/>
        </w:rPr>
        <w:t xml:space="preserve">- złożą komisji pisemne oświadczenie o zgłoszeniu uczestnictwa w przetargu wraz z dokumentami i oświadczeniami wskazanymi w punkcie 2, </w:t>
      </w:r>
    </w:p>
    <w:p w:rsidR="004A0E0B" w:rsidRDefault="004A0E0B" w:rsidP="004A0E0B">
      <w:pPr>
        <w:pStyle w:val="Akapitzlist"/>
        <w:jc w:val="both"/>
        <w:rPr>
          <w:rFonts w:ascii="Arial" w:hAnsi="Arial" w:cs="Arial"/>
          <w:sz w:val="20"/>
          <w:szCs w:val="20"/>
        </w:rPr>
      </w:pPr>
      <w:r>
        <w:rPr>
          <w:rFonts w:ascii="Arial" w:hAnsi="Arial" w:cs="Arial"/>
          <w:sz w:val="20"/>
          <w:szCs w:val="20"/>
        </w:rPr>
        <w:t>- spełniają warunki ustawy o kształtowaniu ustroju rolnego (Dz. U. z 2012 r. poz. 803 ze zm.).</w:t>
      </w:r>
    </w:p>
    <w:p w:rsidR="004A0E0B" w:rsidRDefault="004A0E0B" w:rsidP="004A0E0B">
      <w:pPr>
        <w:pStyle w:val="Akapitzlist"/>
        <w:jc w:val="both"/>
        <w:rPr>
          <w:rFonts w:ascii="Arial" w:hAnsi="Arial" w:cs="Arial"/>
          <w:sz w:val="20"/>
          <w:szCs w:val="20"/>
        </w:rPr>
      </w:pPr>
      <w:r>
        <w:rPr>
          <w:rFonts w:ascii="Arial" w:hAnsi="Arial" w:cs="Arial"/>
          <w:b/>
          <w:sz w:val="20"/>
          <w:szCs w:val="20"/>
        </w:rPr>
        <w:t>Za termin wpłaty wadium uznaje się datę wpływu na konto Urzędu Miasta</w:t>
      </w:r>
      <w:r>
        <w:rPr>
          <w:rFonts w:ascii="Arial" w:hAnsi="Arial" w:cs="Arial"/>
          <w:sz w:val="20"/>
          <w:szCs w:val="20"/>
        </w:rPr>
        <w:t>.</w:t>
      </w:r>
    </w:p>
    <w:p w:rsidR="004A0E0B" w:rsidRDefault="004A0E0B" w:rsidP="004A0E0B">
      <w:pPr>
        <w:pStyle w:val="Akapitzlist"/>
        <w:numPr>
          <w:ilvl w:val="0"/>
          <w:numId w:val="2"/>
        </w:numPr>
        <w:jc w:val="both"/>
        <w:rPr>
          <w:rFonts w:ascii="Arial" w:hAnsi="Arial" w:cs="Arial"/>
          <w:sz w:val="20"/>
          <w:szCs w:val="20"/>
        </w:rPr>
      </w:pPr>
      <w:r>
        <w:rPr>
          <w:rFonts w:ascii="Arial" w:hAnsi="Arial" w:cs="Arial"/>
          <w:sz w:val="20"/>
          <w:szCs w:val="20"/>
        </w:rPr>
        <w:t>Na dowodzie wpłaty wadium należy wpisać numer ewidencyjny działki, będącej przedmiotem przetargu.</w:t>
      </w:r>
    </w:p>
    <w:p w:rsidR="004A0E0B" w:rsidRDefault="004A0E0B" w:rsidP="004A0E0B">
      <w:pPr>
        <w:pStyle w:val="Akapitzlist"/>
        <w:numPr>
          <w:ilvl w:val="0"/>
          <w:numId w:val="2"/>
        </w:numPr>
        <w:jc w:val="both"/>
        <w:rPr>
          <w:rFonts w:ascii="Arial" w:hAnsi="Arial" w:cs="Arial"/>
          <w:sz w:val="20"/>
          <w:szCs w:val="20"/>
        </w:rPr>
      </w:pPr>
      <w:r>
        <w:rPr>
          <w:rFonts w:ascii="Arial" w:hAnsi="Arial" w:cs="Arial"/>
          <w:sz w:val="20"/>
          <w:szCs w:val="20"/>
        </w:rPr>
        <w:t xml:space="preserve">Osoby, którym przysługuje prawo do rekompensaty z tytułu pozostawienia nieruchomości poza granicami Rzeczypospolitej Polskiej w wyniku wypędzenia z byłego terytorium Rzeczypospolitej Polskiej lub jego opuszczenia w związku z wojną rozpoczętą w 1939 r. zwalnia się z obowiązku wniesienia wadium w wyznaczonym w ogłoszeniu o przetargu, jeżeli w terminie do dnia 24.03.2017 r. zgłoszą pisemne uczestnictwo w przetargu, przedstawiając oryginał zaświadczenia lub decyzji potwierdzającej prawo do zaliczenia wartości nieruchomości pozostawionych poza obecnymi granicami Rzeczypospolitej Polskiej, a także złożone pisemne zobowiązanie do uiszczenia kwoty równej wysokości wadium ustalonego </w:t>
      </w:r>
      <w:r>
        <w:rPr>
          <w:rFonts w:ascii="Arial" w:hAnsi="Arial" w:cs="Arial"/>
          <w:sz w:val="20"/>
          <w:szCs w:val="20"/>
        </w:rPr>
        <w:br/>
        <w:t xml:space="preserve">w razie uchylenia się od zawarcia umowy. Osoby te przed rozpoczęciem przetargu winny przedstawić komisji przetargowej dowód osobisty oryginał zaświadczenia lub decyzji potwierdzającej prawo do zaliczenia wartości nieruchomości pozostawionych poza obecnymi granicami Rzeczypospolitej Polskiej oraz wypisy z rejestrów, o których mowa w art. 19 ustawy z dnia 8 lipca 2005 r. o realizacji prawa do rekompensaty z tytułu pozostawienia nieruchomości poza obecnymi granicami Rzeczypospolitej Polskiej (j.t. Dz. U. z 2014 r. </w:t>
      </w:r>
      <w:r>
        <w:rPr>
          <w:rFonts w:ascii="Arial" w:hAnsi="Arial" w:cs="Arial"/>
          <w:sz w:val="20"/>
          <w:szCs w:val="20"/>
        </w:rPr>
        <w:br/>
        <w:t>poz. 1090 ze zm.).</w:t>
      </w:r>
    </w:p>
    <w:p w:rsidR="004A0E0B" w:rsidRDefault="004A0E0B" w:rsidP="004A0E0B">
      <w:pPr>
        <w:pStyle w:val="Akapitzlist"/>
        <w:numPr>
          <w:ilvl w:val="0"/>
          <w:numId w:val="2"/>
        </w:numPr>
        <w:jc w:val="both"/>
        <w:rPr>
          <w:rFonts w:ascii="Arial" w:hAnsi="Arial" w:cs="Arial"/>
          <w:sz w:val="20"/>
          <w:szCs w:val="20"/>
        </w:rPr>
      </w:pPr>
      <w:r>
        <w:rPr>
          <w:rFonts w:ascii="Arial" w:hAnsi="Arial" w:cs="Arial"/>
          <w:sz w:val="20"/>
          <w:szCs w:val="20"/>
        </w:rPr>
        <w:t>Osoby uczestniczące w przetargu zobowiązane są okazać komisji przetargowej:</w:t>
      </w:r>
    </w:p>
    <w:p w:rsidR="004A0E0B" w:rsidRDefault="004A0E0B" w:rsidP="004A0E0B">
      <w:pPr>
        <w:pStyle w:val="Akapitzlist"/>
        <w:jc w:val="both"/>
        <w:rPr>
          <w:rFonts w:ascii="Arial" w:hAnsi="Arial" w:cs="Arial"/>
          <w:sz w:val="20"/>
          <w:szCs w:val="20"/>
        </w:rPr>
      </w:pPr>
      <w:r>
        <w:rPr>
          <w:rFonts w:ascii="Arial" w:hAnsi="Arial" w:cs="Arial"/>
          <w:sz w:val="20"/>
          <w:szCs w:val="20"/>
        </w:rPr>
        <w:t xml:space="preserve">- w przypadku osoby fizycznej: dokument potwierdzający tożsamość uczestnika przetargu </w:t>
      </w:r>
      <w:r>
        <w:rPr>
          <w:rFonts w:ascii="Arial" w:hAnsi="Arial" w:cs="Arial"/>
          <w:sz w:val="20"/>
          <w:szCs w:val="20"/>
        </w:rPr>
        <w:br/>
        <w:t>(dowód osobisty, paszport lub prawo jazdy); w przypadku pełnomocnika osoby fizycznej: dokument potwierdzający tożsamość pełnomocnika (dowód osobisty, paszport lub prawo jazdy) oraz pełnomocnictwo notarialne lub z notarialnie poświadczonym podpisem mocodawcy,</w:t>
      </w:r>
    </w:p>
    <w:p w:rsidR="004A0E0B" w:rsidRDefault="004A0E0B" w:rsidP="004A0E0B">
      <w:pPr>
        <w:pStyle w:val="Akapitzlist"/>
        <w:jc w:val="both"/>
        <w:rPr>
          <w:rFonts w:ascii="Arial" w:hAnsi="Arial" w:cs="Arial"/>
          <w:sz w:val="20"/>
          <w:szCs w:val="20"/>
        </w:rPr>
      </w:pPr>
      <w:r>
        <w:rPr>
          <w:rFonts w:ascii="Arial" w:hAnsi="Arial" w:cs="Arial"/>
          <w:sz w:val="20"/>
          <w:szCs w:val="20"/>
        </w:rPr>
        <w:lastRenderedPageBreak/>
        <w:t xml:space="preserve">- w przypadku osoby prowadzącej działalność gospodarczą: dokument potwierdzający tożsamość uczestnika przetargu (dowód osobisty, paszport lub prawo jazdy) oraz aktualne  </w:t>
      </w:r>
      <w:r>
        <w:rPr>
          <w:rFonts w:ascii="Arial" w:hAnsi="Arial" w:cs="Arial"/>
          <w:sz w:val="20"/>
          <w:szCs w:val="20"/>
        </w:rPr>
        <w:br/>
        <w:t xml:space="preserve">( nie dłużej niż sprzed 3 miesięcy) zaświadczenie o prowadzeniu działalności gospodarczej. </w:t>
      </w:r>
      <w:r>
        <w:rPr>
          <w:rFonts w:ascii="Arial" w:hAnsi="Arial" w:cs="Arial"/>
          <w:sz w:val="20"/>
          <w:szCs w:val="20"/>
        </w:rPr>
        <w:br/>
        <w:t>W przypadku spółki cywilnej, zgoda wspólników w formie uchwały lub umowa spółki uprawniająca wspólnika/wspólników do nabywania nieruchomości bez zgody pozostałych wspólników; w przypadku pełnomocnika osoby fizycznej: dokument potwierdzający tożsamość pełnomocnika ( dowód osobisty, paszport lub prawo jazdy) oraz pełnomocnictwo notarialne lub z notarialnie poświadczonym podpisem mocodawcy,</w:t>
      </w:r>
    </w:p>
    <w:p w:rsidR="004A0E0B" w:rsidRDefault="004A0E0B" w:rsidP="004A0E0B">
      <w:pPr>
        <w:pStyle w:val="Akapitzlist"/>
        <w:jc w:val="both"/>
        <w:rPr>
          <w:rFonts w:ascii="Arial" w:hAnsi="Arial" w:cs="Arial"/>
          <w:sz w:val="20"/>
          <w:szCs w:val="20"/>
        </w:rPr>
      </w:pPr>
      <w:r>
        <w:rPr>
          <w:rFonts w:ascii="Arial" w:hAnsi="Arial" w:cs="Arial"/>
          <w:sz w:val="20"/>
          <w:szCs w:val="20"/>
        </w:rPr>
        <w:t xml:space="preserve">- w przypadku przedstawiciela osoby prawnej lub jednostki podlegającej wpisowi do KRS: dokument potwierdzający tożsamość przedstawiciela (dowód osobisty, paszport lub prawo jazdy) oraz aktualny (nie dłużej niż sprzed 3 miesięcy) odpis z rejestru sądowego; </w:t>
      </w:r>
      <w:r>
        <w:rPr>
          <w:rFonts w:ascii="Arial" w:hAnsi="Arial" w:cs="Arial"/>
          <w:sz w:val="20"/>
          <w:szCs w:val="20"/>
        </w:rPr>
        <w:br/>
        <w:t>w przypadku pełnomocnika osoby prawnej lub jednostki podlegającej wpisowi do KRS: dokument potwierdzający tożsamość pełnomocnika (dowód osobisty, paszport lub prawo jazdy) oraz pełnomocnictwo notarialne lub z notarialnie poświadczonym podpisem mocodawcy,</w:t>
      </w:r>
    </w:p>
    <w:p w:rsidR="004A0E0B" w:rsidRDefault="004A0E0B" w:rsidP="004A0E0B">
      <w:pPr>
        <w:pStyle w:val="Akapitzlist"/>
        <w:jc w:val="both"/>
        <w:rPr>
          <w:rFonts w:ascii="Arial" w:hAnsi="Arial" w:cs="Arial"/>
          <w:sz w:val="20"/>
          <w:szCs w:val="20"/>
        </w:rPr>
      </w:pPr>
      <w:r>
        <w:rPr>
          <w:rFonts w:ascii="Arial" w:hAnsi="Arial" w:cs="Arial"/>
          <w:sz w:val="20"/>
          <w:szCs w:val="20"/>
        </w:rPr>
        <w:t>- w pozostałych przypadkach dokumenty świadczące zgodnie z obowiązującymi przepisami                  o reprezentowaniu osoby lub jednostki organizacyjnej uczestniczącej w przetargu oraz dokument potwierdzający tożsamość osoby przystępującej w jej imieniu do przetargu (dowód osobisty, paszport lub prawo jazdy); w przypadku pełnomocnika takiej osoby lub jednostki pełnomocnictwo notarialne lub z notarialnie poświadczonym podpisem.</w:t>
      </w:r>
    </w:p>
    <w:p w:rsidR="004A0E0B" w:rsidRDefault="004A0E0B" w:rsidP="004A0E0B">
      <w:pPr>
        <w:pStyle w:val="Akapitzlist"/>
        <w:numPr>
          <w:ilvl w:val="0"/>
          <w:numId w:val="2"/>
        </w:numPr>
        <w:jc w:val="both"/>
        <w:rPr>
          <w:rFonts w:ascii="Arial" w:hAnsi="Arial" w:cs="Arial"/>
          <w:sz w:val="20"/>
          <w:szCs w:val="20"/>
        </w:rPr>
      </w:pPr>
      <w:r>
        <w:rPr>
          <w:rFonts w:ascii="Arial" w:hAnsi="Arial" w:cs="Arial"/>
          <w:sz w:val="20"/>
          <w:szCs w:val="20"/>
        </w:rPr>
        <w:t>Z cudzoziemcem na przetargu winien uczestniczyć tłumacz przysięgły. Podmioty zagraniczne wiążą przepisy ustawy z dnia 24 marca 1920 r. o nabywaniu nieruchomości przez cudzoziemców (j.t. Dz. U. z 2014 r. poz. 1380 ze zm.).</w:t>
      </w:r>
    </w:p>
    <w:p w:rsidR="004A0E0B" w:rsidRDefault="004A0E0B" w:rsidP="004A0E0B">
      <w:pPr>
        <w:pStyle w:val="Akapitzlist"/>
        <w:numPr>
          <w:ilvl w:val="0"/>
          <w:numId w:val="2"/>
        </w:numPr>
        <w:jc w:val="both"/>
        <w:rPr>
          <w:rFonts w:ascii="Arial" w:hAnsi="Arial" w:cs="Arial"/>
          <w:b/>
          <w:sz w:val="20"/>
          <w:szCs w:val="20"/>
        </w:rPr>
      </w:pPr>
      <w:r>
        <w:rPr>
          <w:rFonts w:ascii="Arial" w:hAnsi="Arial" w:cs="Arial"/>
          <w:b/>
          <w:sz w:val="20"/>
          <w:szCs w:val="20"/>
        </w:rPr>
        <w:t>Przetarg odbędzie się w dniu 29 marca 2017 r. o godz. 10</w:t>
      </w:r>
      <w:r>
        <w:rPr>
          <w:rFonts w:ascii="Arial" w:hAnsi="Arial" w:cs="Arial"/>
          <w:b/>
          <w:sz w:val="20"/>
          <w:szCs w:val="20"/>
          <w:vertAlign w:val="superscript"/>
        </w:rPr>
        <w:t>00</w:t>
      </w:r>
      <w:r>
        <w:rPr>
          <w:rFonts w:ascii="Arial" w:hAnsi="Arial" w:cs="Arial"/>
          <w:b/>
          <w:sz w:val="20"/>
          <w:szCs w:val="20"/>
        </w:rPr>
        <w:t xml:space="preserve"> w siedzibie Urzędu Miasta w Krośnie Odrzańskim ul. Parkowa 1, budynek B, pokój nr 20.</w:t>
      </w:r>
    </w:p>
    <w:p w:rsidR="004A0E0B" w:rsidRDefault="004A0E0B" w:rsidP="004A0E0B">
      <w:pPr>
        <w:pStyle w:val="Akapitzlist"/>
        <w:numPr>
          <w:ilvl w:val="0"/>
          <w:numId w:val="2"/>
        </w:numPr>
        <w:jc w:val="both"/>
        <w:rPr>
          <w:rFonts w:ascii="Arial" w:hAnsi="Arial" w:cs="Arial"/>
          <w:b/>
          <w:sz w:val="20"/>
          <w:szCs w:val="20"/>
        </w:rPr>
      </w:pPr>
      <w:r>
        <w:rPr>
          <w:rFonts w:ascii="Arial" w:hAnsi="Arial" w:cs="Arial"/>
          <w:sz w:val="20"/>
          <w:szCs w:val="20"/>
        </w:rPr>
        <w:t>Cenę nabycia nieruchomości jej Nabywca winien wpłacić najpóźniej do dnia zawarcia umowy notarialnej.</w:t>
      </w:r>
    </w:p>
    <w:p w:rsidR="004A0E0B" w:rsidRDefault="004A0E0B" w:rsidP="004A0E0B">
      <w:pPr>
        <w:pStyle w:val="Akapitzlist"/>
        <w:numPr>
          <w:ilvl w:val="0"/>
          <w:numId w:val="2"/>
        </w:numPr>
        <w:jc w:val="both"/>
        <w:rPr>
          <w:rFonts w:ascii="Arial" w:hAnsi="Arial" w:cs="Arial"/>
          <w:b/>
          <w:sz w:val="20"/>
          <w:szCs w:val="20"/>
        </w:rPr>
      </w:pPr>
      <w:r>
        <w:rPr>
          <w:rFonts w:ascii="Arial" w:hAnsi="Arial" w:cs="Arial"/>
          <w:sz w:val="20"/>
          <w:szCs w:val="20"/>
        </w:rPr>
        <w:t>Wpłacone wadium, uczestnikowi, który wygrał przetarg zalicza się na poczet ceny nabycia nieruchomości. Uczestnikowi przetargu wpłacone wadium zwraca się niezwłocznie nie później niż przed upływem 3 dni od dnia: odwołania przetargu, zamknięcia przetargu, unieważnienia przetargu, zakończenia przetargu wynikiem negatywnym.</w:t>
      </w:r>
    </w:p>
    <w:p w:rsidR="004A0E0B" w:rsidRDefault="004A0E0B" w:rsidP="004A0E0B">
      <w:pPr>
        <w:pStyle w:val="Akapitzlist"/>
        <w:numPr>
          <w:ilvl w:val="0"/>
          <w:numId w:val="2"/>
        </w:numPr>
        <w:jc w:val="both"/>
        <w:rPr>
          <w:rFonts w:ascii="Arial" w:hAnsi="Arial" w:cs="Arial"/>
          <w:b/>
          <w:sz w:val="20"/>
          <w:szCs w:val="20"/>
        </w:rPr>
      </w:pPr>
      <w:r>
        <w:rPr>
          <w:rFonts w:ascii="Arial" w:hAnsi="Arial" w:cs="Arial"/>
          <w:sz w:val="20"/>
          <w:szCs w:val="20"/>
        </w:rPr>
        <w:t>Termin zawarcia umowy notarialnej ustalony zostanie najpóźniej w ciągu 21 dni od dnia rozstrzygnięcia przetargu.</w:t>
      </w:r>
    </w:p>
    <w:p w:rsidR="004A0E0B" w:rsidRDefault="004A0E0B" w:rsidP="004A0E0B">
      <w:pPr>
        <w:pStyle w:val="Akapitzlist"/>
        <w:numPr>
          <w:ilvl w:val="0"/>
          <w:numId w:val="2"/>
        </w:numPr>
        <w:jc w:val="both"/>
        <w:rPr>
          <w:rFonts w:ascii="Arial" w:hAnsi="Arial" w:cs="Arial"/>
          <w:b/>
          <w:sz w:val="20"/>
          <w:szCs w:val="20"/>
        </w:rPr>
      </w:pPr>
      <w:r>
        <w:rPr>
          <w:rFonts w:ascii="Arial" w:hAnsi="Arial" w:cs="Arial"/>
          <w:sz w:val="20"/>
          <w:szCs w:val="20"/>
        </w:rPr>
        <w:t>Jeżeli osoba, ustalona jako Nabywca nie stawi się bez usprawiedliwienia w miejscu i terminie zawarcia umowy sprzedaży, Burmistrz Krosna Odrzańskiego może odstąpić od zawarcia umowy, a wpłacone wadium nie podlega zwrotowi.</w:t>
      </w:r>
    </w:p>
    <w:p w:rsidR="004A0E0B" w:rsidRDefault="004A0E0B" w:rsidP="004A0E0B">
      <w:pPr>
        <w:pStyle w:val="Akapitzlist"/>
        <w:numPr>
          <w:ilvl w:val="0"/>
          <w:numId w:val="2"/>
        </w:numPr>
        <w:jc w:val="both"/>
        <w:rPr>
          <w:rFonts w:ascii="Arial" w:hAnsi="Arial" w:cs="Arial"/>
          <w:b/>
          <w:sz w:val="20"/>
          <w:szCs w:val="20"/>
        </w:rPr>
      </w:pPr>
      <w:r>
        <w:rPr>
          <w:rFonts w:ascii="Arial" w:hAnsi="Arial" w:cs="Arial"/>
          <w:sz w:val="20"/>
          <w:szCs w:val="20"/>
        </w:rPr>
        <w:t>Koszt zawarcia aktu notarialnego obciąża w całości kupującego.</w:t>
      </w:r>
    </w:p>
    <w:p w:rsidR="004A0E0B" w:rsidRDefault="004A0E0B" w:rsidP="004A0E0B">
      <w:pPr>
        <w:pStyle w:val="Akapitzlist"/>
        <w:numPr>
          <w:ilvl w:val="0"/>
          <w:numId w:val="2"/>
        </w:numPr>
        <w:jc w:val="both"/>
        <w:rPr>
          <w:rFonts w:ascii="Arial" w:hAnsi="Arial" w:cs="Arial"/>
          <w:b/>
          <w:sz w:val="20"/>
          <w:szCs w:val="20"/>
        </w:rPr>
      </w:pPr>
      <w:r>
        <w:rPr>
          <w:rFonts w:ascii="Arial" w:hAnsi="Arial" w:cs="Arial"/>
          <w:sz w:val="20"/>
          <w:szCs w:val="20"/>
        </w:rPr>
        <w:t xml:space="preserve">Przetarg może być odwołany jedynie z ważnych powodów w trybie określonym w przepisie art. 38 ust. 4 ustawy z dnia 21 sierpnia 1997 r. o gospodarce nieruchomościami </w:t>
      </w:r>
      <w:r>
        <w:rPr>
          <w:rFonts w:ascii="Arial" w:hAnsi="Arial" w:cs="Arial"/>
          <w:sz w:val="20"/>
          <w:szCs w:val="20"/>
        </w:rPr>
        <w:br/>
        <w:t>(j.t. Dz. U. z 2015 r. poz. 1774 ze zm.).</w:t>
      </w:r>
    </w:p>
    <w:p w:rsidR="004A0E0B" w:rsidRDefault="004A0E0B" w:rsidP="004A0E0B">
      <w:pPr>
        <w:pStyle w:val="Akapitzlist"/>
        <w:numPr>
          <w:ilvl w:val="0"/>
          <w:numId w:val="2"/>
        </w:numPr>
        <w:jc w:val="both"/>
        <w:rPr>
          <w:rFonts w:ascii="Arial" w:hAnsi="Arial" w:cs="Arial"/>
          <w:b/>
          <w:sz w:val="20"/>
          <w:szCs w:val="20"/>
        </w:rPr>
      </w:pPr>
      <w:r>
        <w:rPr>
          <w:rFonts w:ascii="Arial" w:hAnsi="Arial" w:cs="Arial"/>
          <w:sz w:val="20"/>
          <w:szCs w:val="20"/>
        </w:rPr>
        <w:t xml:space="preserve">Dodatkowych informacji udziela Naczelnik Wydziału Gospodarki Nieruchomościami, Ochrony Środowiska i Rolnictwa Urzędu tel. 68 4109 760 lub pracownik Wydziału Gospodarki Nieruchomościami, Ochrony Środowiska i Rolnictwa Urzędu Miasta w Krośnie Odrzańskim </w:t>
      </w:r>
      <w:r>
        <w:rPr>
          <w:rFonts w:ascii="Arial" w:hAnsi="Arial" w:cs="Arial"/>
          <w:sz w:val="20"/>
          <w:szCs w:val="20"/>
        </w:rPr>
        <w:br/>
        <w:t>tel. 68 4109 766.</w:t>
      </w:r>
    </w:p>
    <w:p w:rsidR="004A0E0B" w:rsidRDefault="004A0E0B" w:rsidP="004A0E0B">
      <w:pPr>
        <w:jc w:val="both"/>
        <w:rPr>
          <w:rFonts w:ascii="Arial" w:hAnsi="Arial" w:cs="Arial"/>
          <w:sz w:val="20"/>
          <w:szCs w:val="20"/>
        </w:rPr>
      </w:pPr>
    </w:p>
    <w:p w:rsidR="004A0E0B" w:rsidRDefault="004A0E0B" w:rsidP="004A0E0B">
      <w:pPr>
        <w:jc w:val="both"/>
        <w:rPr>
          <w:rFonts w:ascii="Arial" w:hAnsi="Arial" w:cs="Arial"/>
          <w:sz w:val="20"/>
          <w:szCs w:val="20"/>
        </w:rPr>
      </w:pPr>
      <w:r>
        <w:rPr>
          <w:rFonts w:ascii="Arial" w:hAnsi="Arial" w:cs="Arial"/>
          <w:sz w:val="20"/>
          <w:szCs w:val="20"/>
        </w:rPr>
        <w:t>Krosno Odrzańskie, 21 lutego 2017 r.</w:t>
      </w:r>
    </w:p>
    <w:p w:rsidR="004A0E0B" w:rsidRDefault="004A0E0B" w:rsidP="004A0E0B"/>
    <w:p w:rsidR="004A0E0B" w:rsidRDefault="004A0E0B" w:rsidP="004A0E0B"/>
    <w:p w:rsidR="004B5072" w:rsidRDefault="004B5072">
      <w:bookmarkStart w:id="0" w:name="_GoBack"/>
      <w:bookmarkEnd w:id="0"/>
    </w:p>
    <w:sectPr w:rsidR="004B50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C53C99"/>
    <w:multiLevelType w:val="hybridMultilevel"/>
    <w:tmpl w:val="235011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6B2E1125"/>
    <w:multiLevelType w:val="hybridMultilevel"/>
    <w:tmpl w:val="13D89A4E"/>
    <w:lvl w:ilvl="0" w:tplc="4ABC85B0">
      <w:start w:val="1"/>
      <w:numFmt w:val="decimal"/>
      <w:lvlText w:val="%1."/>
      <w:lvlJc w:val="left"/>
      <w:pPr>
        <w:ind w:left="720" w:hanging="360"/>
      </w:pPr>
      <w:rPr>
        <w:rFonts w:ascii="Arial" w:eastAsia="Calibri" w:hAnsi="Arial" w:cs="Arial"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E0B"/>
    <w:rsid w:val="004A0E0B"/>
    <w:rsid w:val="004B5072"/>
    <w:rsid w:val="00AA67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0E0B"/>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A0E0B"/>
    <w:pPr>
      <w:ind w:left="720"/>
      <w:contextualSpacing/>
    </w:pPr>
  </w:style>
  <w:style w:type="character" w:styleId="Pogrubienie">
    <w:name w:val="Strong"/>
    <w:basedOn w:val="Domylnaczcionkaakapitu"/>
    <w:qFormat/>
    <w:rsid w:val="004A0E0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0E0B"/>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A0E0B"/>
    <w:pPr>
      <w:ind w:left="720"/>
      <w:contextualSpacing/>
    </w:pPr>
  </w:style>
  <w:style w:type="character" w:styleId="Pogrubienie">
    <w:name w:val="Strong"/>
    <w:basedOn w:val="Domylnaczcionkaakapitu"/>
    <w:qFormat/>
    <w:rsid w:val="004A0E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68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1417</Words>
  <Characters>8506</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 Jasińska</dc:creator>
  <cp:lastModifiedBy>Lilia Jasińska</cp:lastModifiedBy>
  <cp:revision>1</cp:revision>
  <dcterms:created xsi:type="dcterms:W3CDTF">2017-02-20T15:19:00Z</dcterms:created>
  <dcterms:modified xsi:type="dcterms:W3CDTF">2017-02-20T15:20:00Z</dcterms:modified>
</cp:coreProperties>
</file>