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B8" w:rsidRDefault="00615EB8" w:rsidP="00615EB8">
      <w:pPr>
        <w:jc w:val="center"/>
        <w:rPr>
          <w:rFonts w:ascii="Arial" w:hAnsi="Arial" w:cs="Arial"/>
          <w:b/>
          <w:sz w:val="20"/>
          <w:szCs w:val="20"/>
        </w:rPr>
      </w:pPr>
      <w:r>
        <w:rPr>
          <w:rFonts w:ascii="Arial" w:hAnsi="Arial" w:cs="Arial"/>
          <w:b/>
          <w:sz w:val="20"/>
          <w:szCs w:val="20"/>
        </w:rPr>
        <w:t xml:space="preserve">OGŁOSZENIE </w:t>
      </w:r>
    </w:p>
    <w:p w:rsidR="00615EB8" w:rsidRDefault="00615EB8" w:rsidP="00615EB8">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246/3, stanowiącej własność gminy Krosno Odrzańskie, położonej w miejscowości Radnica. </w:t>
      </w:r>
    </w:p>
    <w:p w:rsidR="00615EB8" w:rsidRDefault="00615EB8" w:rsidP="00615EB8">
      <w:pPr>
        <w:jc w:val="both"/>
        <w:rPr>
          <w:rFonts w:ascii="Arial" w:hAnsi="Arial" w:cs="Arial"/>
          <w:b/>
          <w:sz w:val="20"/>
          <w:szCs w:val="20"/>
        </w:rPr>
      </w:pPr>
      <w:r>
        <w:rPr>
          <w:rFonts w:ascii="Arial" w:hAnsi="Arial" w:cs="Arial"/>
          <w:b/>
          <w:sz w:val="20"/>
          <w:szCs w:val="20"/>
        </w:rPr>
        <w:t>I. Rodzaj nieruchomości:</w:t>
      </w:r>
    </w:p>
    <w:p w:rsidR="00615EB8" w:rsidRDefault="00615EB8" w:rsidP="00615EB8">
      <w:pPr>
        <w:pStyle w:val="Bezodstpw"/>
        <w:spacing w:line="276" w:lineRule="auto"/>
        <w:jc w:val="both"/>
        <w:rPr>
          <w:rFonts w:ascii="Arial" w:hAnsi="Arial" w:cs="Arial"/>
          <w:sz w:val="20"/>
          <w:szCs w:val="20"/>
        </w:rPr>
      </w:pPr>
      <w:r>
        <w:rPr>
          <w:rFonts w:ascii="Arial" w:hAnsi="Arial" w:cs="Arial"/>
          <w:sz w:val="20"/>
          <w:szCs w:val="20"/>
        </w:rPr>
        <w:t>Nieruchomość gruntowa niezabudowana oznaczona działką nr 246/3 o powierzchni 591 m² położna w miejscowości Radnica. Działka o regularnym kształcie i niewielkim zróżnicowaniu terenu. Nieruchomość posiada dostęp do drogi publicznej. W pobliżu przebiegają sieci wodociągowa, kanalizacyjna, elektroenergetyczna. W południowej części działki, przez jej długość, przebiega napowietrzna sieć elektroenergetyczna średniego napięcia.</w:t>
      </w:r>
    </w:p>
    <w:p w:rsidR="00615EB8" w:rsidRDefault="00615EB8" w:rsidP="00615EB8">
      <w:pPr>
        <w:pStyle w:val="Bezodstpw"/>
        <w:spacing w:line="276" w:lineRule="auto"/>
        <w:jc w:val="both"/>
        <w:rPr>
          <w:rFonts w:ascii="Arial" w:hAnsi="Arial" w:cs="Arial"/>
          <w:sz w:val="20"/>
          <w:szCs w:val="20"/>
        </w:rPr>
      </w:pPr>
      <w:r>
        <w:rPr>
          <w:rFonts w:ascii="Arial" w:hAnsi="Arial" w:cs="Arial"/>
          <w:sz w:val="20"/>
          <w:szCs w:val="20"/>
        </w:rPr>
        <w:t>Zgodnie ze studium uwarunkowań i kierunków zagospodarowania przestrzennego gminy, działka położona jest na obszarze oznaczonym symbolem MRU/MNU – strefa rozwoju zabudowy.</w:t>
      </w:r>
    </w:p>
    <w:p w:rsidR="00615EB8" w:rsidRDefault="00615EB8" w:rsidP="00615EB8">
      <w:pPr>
        <w:pStyle w:val="Bezodstpw"/>
        <w:spacing w:line="276" w:lineRule="auto"/>
        <w:jc w:val="both"/>
        <w:rPr>
          <w:rFonts w:ascii="Arial" w:hAnsi="Arial" w:cs="Arial"/>
          <w:sz w:val="20"/>
          <w:szCs w:val="20"/>
        </w:rPr>
      </w:pPr>
    </w:p>
    <w:p w:rsidR="00615EB8" w:rsidRDefault="00615EB8" w:rsidP="00615EB8">
      <w:pPr>
        <w:jc w:val="both"/>
        <w:rPr>
          <w:rFonts w:ascii="Arial" w:hAnsi="Arial" w:cs="Arial"/>
          <w:sz w:val="20"/>
          <w:szCs w:val="20"/>
        </w:rPr>
      </w:pPr>
      <w:r>
        <w:rPr>
          <w:rFonts w:ascii="Arial" w:hAnsi="Arial" w:cs="Arial"/>
          <w:sz w:val="20"/>
          <w:szCs w:val="20"/>
        </w:rPr>
        <w:t>Dla danej nieruchomości prowadzona jest księga wieczysta  KW nr ZG1K/00021594/5.</w:t>
      </w:r>
    </w:p>
    <w:p w:rsidR="00615EB8" w:rsidRDefault="00615EB8" w:rsidP="00615EB8">
      <w:pPr>
        <w:jc w:val="both"/>
        <w:rPr>
          <w:rFonts w:ascii="Arial" w:hAnsi="Arial" w:cs="Arial"/>
          <w:b/>
          <w:sz w:val="20"/>
          <w:szCs w:val="20"/>
        </w:rPr>
      </w:pPr>
      <w:r>
        <w:rPr>
          <w:rFonts w:ascii="Arial" w:hAnsi="Arial" w:cs="Arial"/>
          <w:b/>
          <w:sz w:val="20"/>
          <w:szCs w:val="20"/>
        </w:rPr>
        <w:t>II. Nabywca nieruchomości zobowiązuje się do:</w:t>
      </w:r>
    </w:p>
    <w:p w:rsidR="00615EB8" w:rsidRDefault="00615EB8" w:rsidP="00615EB8">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615EB8" w:rsidRDefault="00615EB8" w:rsidP="00615EB8">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615EB8" w:rsidTr="00615EB8">
        <w:trPr>
          <w:trHeight w:val="578"/>
        </w:trPr>
        <w:tc>
          <w:tcPr>
            <w:tcW w:w="535"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b/>
                <w:sz w:val="20"/>
                <w:szCs w:val="20"/>
              </w:rPr>
            </w:pPr>
            <w:r>
              <w:rPr>
                <w:rFonts w:ascii="Arial" w:hAnsi="Arial" w:cs="Arial"/>
                <w:b/>
                <w:sz w:val="20"/>
                <w:szCs w:val="20"/>
              </w:rPr>
              <w:t>Powierzchnia</w:t>
            </w:r>
          </w:p>
          <w:p w:rsidR="00615EB8" w:rsidRDefault="00615EB8">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b/>
                <w:sz w:val="20"/>
                <w:szCs w:val="20"/>
              </w:rPr>
            </w:pPr>
            <w:r>
              <w:rPr>
                <w:rFonts w:ascii="Arial" w:hAnsi="Arial" w:cs="Arial"/>
                <w:b/>
                <w:sz w:val="20"/>
                <w:szCs w:val="20"/>
              </w:rPr>
              <w:t>Cena wywoławcza</w:t>
            </w:r>
          </w:p>
          <w:p w:rsidR="00615EB8" w:rsidRDefault="00615EB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b/>
                <w:sz w:val="20"/>
                <w:szCs w:val="20"/>
              </w:rPr>
            </w:pPr>
            <w:r>
              <w:rPr>
                <w:rFonts w:ascii="Arial" w:hAnsi="Arial" w:cs="Arial"/>
                <w:b/>
                <w:sz w:val="20"/>
                <w:szCs w:val="20"/>
              </w:rPr>
              <w:t>Wadium</w:t>
            </w:r>
          </w:p>
          <w:p w:rsidR="00615EB8" w:rsidRDefault="00615EB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615EB8" w:rsidTr="00615EB8">
        <w:trPr>
          <w:trHeight w:val="193"/>
        </w:trPr>
        <w:tc>
          <w:tcPr>
            <w:tcW w:w="535"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both"/>
              <w:rPr>
                <w:rFonts w:ascii="Arial" w:hAnsi="Arial" w:cs="Arial"/>
                <w:sz w:val="20"/>
                <w:szCs w:val="20"/>
              </w:rPr>
            </w:pPr>
            <w:r>
              <w:rPr>
                <w:rFonts w:ascii="Arial" w:hAnsi="Arial" w:cs="Arial"/>
                <w:sz w:val="20"/>
                <w:szCs w:val="20"/>
              </w:rPr>
              <w:t>246/3</w:t>
            </w:r>
          </w:p>
        </w:tc>
        <w:tc>
          <w:tcPr>
            <w:tcW w:w="1561"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sz w:val="20"/>
                <w:szCs w:val="20"/>
              </w:rPr>
            </w:pPr>
            <w:r>
              <w:rPr>
                <w:rFonts w:ascii="Arial" w:hAnsi="Arial" w:cs="Arial"/>
                <w:sz w:val="20"/>
                <w:szCs w:val="20"/>
              </w:rPr>
              <w:t>591</w:t>
            </w:r>
          </w:p>
        </w:tc>
        <w:tc>
          <w:tcPr>
            <w:tcW w:w="2916"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sz w:val="20"/>
                <w:szCs w:val="20"/>
              </w:rPr>
            </w:pPr>
            <w:r>
              <w:rPr>
                <w:rFonts w:ascii="Arial" w:hAnsi="Arial" w:cs="Arial"/>
                <w:sz w:val="20"/>
                <w:szCs w:val="20"/>
              </w:rPr>
              <w:t xml:space="preserve">6 200,00 </w:t>
            </w:r>
          </w:p>
        </w:tc>
        <w:tc>
          <w:tcPr>
            <w:tcW w:w="1538"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sz w:val="20"/>
                <w:szCs w:val="20"/>
              </w:rPr>
            </w:pPr>
            <w:r>
              <w:rPr>
                <w:rFonts w:ascii="Arial" w:hAnsi="Arial" w:cs="Arial"/>
                <w:sz w:val="20"/>
                <w:szCs w:val="20"/>
              </w:rPr>
              <w:t>700,00</w:t>
            </w:r>
          </w:p>
        </w:tc>
        <w:tc>
          <w:tcPr>
            <w:tcW w:w="1538" w:type="dxa"/>
            <w:tcBorders>
              <w:top w:val="single" w:sz="4" w:space="0" w:color="auto"/>
              <w:left w:val="single" w:sz="4" w:space="0" w:color="auto"/>
              <w:bottom w:val="single" w:sz="4" w:space="0" w:color="auto"/>
              <w:right w:val="single" w:sz="4" w:space="0" w:color="auto"/>
            </w:tcBorders>
            <w:hideMark/>
          </w:tcPr>
          <w:p w:rsidR="00615EB8" w:rsidRDefault="00615EB8">
            <w:pPr>
              <w:spacing w:after="0" w:line="240" w:lineRule="auto"/>
              <w:jc w:val="center"/>
              <w:rPr>
                <w:rFonts w:ascii="Arial" w:hAnsi="Arial" w:cs="Arial"/>
                <w:sz w:val="20"/>
                <w:szCs w:val="20"/>
              </w:rPr>
            </w:pPr>
            <w:r>
              <w:rPr>
                <w:rFonts w:ascii="Arial" w:hAnsi="Arial" w:cs="Arial"/>
                <w:sz w:val="20"/>
                <w:szCs w:val="20"/>
              </w:rPr>
              <w:t>70,00</w:t>
            </w:r>
          </w:p>
        </w:tc>
      </w:tr>
    </w:tbl>
    <w:p w:rsidR="00615EB8" w:rsidRDefault="00615EB8" w:rsidP="00615EB8">
      <w:pPr>
        <w:jc w:val="both"/>
        <w:rPr>
          <w:rFonts w:ascii="Arial" w:hAnsi="Arial" w:cs="Arial"/>
          <w:sz w:val="20"/>
          <w:szCs w:val="20"/>
        </w:rPr>
      </w:pPr>
    </w:p>
    <w:p w:rsidR="00615EB8" w:rsidRDefault="00615EB8" w:rsidP="00615EB8">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615EB8" w:rsidRDefault="00615EB8" w:rsidP="00615EB8">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sz w:val="20"/>
          <w:szCs w:val="20"/>
        </w:rPr>
        <w:t>W przypadku ewentualnej potrzeby okazania granic Nabywca ustali warunki tego okazania z wybranym przez siebie geodetą. Okazanie granic nastąpi na koszt Nabywcy.</w:t>
      </w:r>
    </w:p>
    <w:p w:rsidR="00615EB8" w:rsidRDefault="00615EB8" w:rsidP="00615EB8">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615EB8" w:rsidRDefault="00615EB8" w:rsidP="00615EB8">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615EB8" w:rsidRDefault="00615EB8" w:rsidP="00615EB8">
      <w:pPr>
        <w:pStyle w:val="Akapitzlist"/>
        <w:jc w:val="both"/>
        <w:rPr>
          <w:rFonts w:ascii="Arial" w:hAnsi="Arial" w:cs="Arial"/>
          <w:sz w:val="20"/>
          <w:szCs w:val="20"/>
        </w:rPr>
      </w:pPr>
    </w:p>
    <w:p w:rsidR="00615EB8" w:rsidRDefault="00615EB8" w:rsidP="00615EB8">
      <w:pPr>
        <w:pStyle w:val="Akapitzlist"/>
        <w:ind w:left="0"/>
        <w:jc w:val="both"/>
        <w:rPr>
          <w:rFonts w:ascii="Arial" w:hAnsi="Arial" w:cs="Arial"/>
          <w:b/>
          <w:sz w:val="20"/>
          <w:szCs w:val="20"/>
        </w:rPr>
      </w:pPr>
      <w:r>
        <w:rPr>
          <w:rFonts w:ascii="Arial" w:hAnsi="Arial" w:cs="Arial"/>
          <w:b/>
          <w:sz w:val="20"/>
          <w:szCs w:val="20"/>
        </w:rPr>
        <w:t>IV. Warunki udziału w przetargu</w:t>
      </w:r>
    </w:p>
    <w:p w:rsidR="00615EB8" w:rsidRDefault="00615EB8" w:rsidP="00615EB8">
      <w:pPr>
        <w:pStyle w:val="Akapitzlist"/>
        <w:jc w:val="both"/>
        <w:rPr>
          <w:rFonts w:ascii="Arial" w:hAnsi="Arial" w:cs="Arial"/>
          <w:b/>
          <w:sz w:val="20"/>
          <w:szCs w:val="20"/>
        </w:rPr>
      </w:pPr>
    </w:p>
    <w:p w:rsidR="00615EB8" w:rsidRDefault="00615EB8" w:rsidP="00615EB8">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31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615EB8" w:rsidRDefault="00615EB8" w:rsidP="00615EB8">
      <w:pPr>
        <w:pStyle w:val="Akapitzlist"/>
        <w:numPr>
          <w:ilvl w:val="0"/>
          <w:numId w:val="2"/>
        </w:numPr>
        <w:jc w:val="both"/>
        <w:rPr>
          <w:rFonts w:ascii="Arial" w:hAnsi="Arial" w:cs="Arial"/>
          <w:sz w:val="20"/>
          <w:szCs w:val="20"/>
        </w:rPr>
      </w:pPr>
      <w:r>
        <w:rPr>
          <w:rFonts w:ascii="Arial" w:hAnsi="Arial" w:cs="Arial"/>
          <w:sz w:val="20"/>
          <w:szCs w:val="20"/>
        </w:rPr>
        <w:t>Na dowodzie wpłaty wadium należy numer ewidencyjny działki, będącej przedmiotem przetargu.</w:t>
      </w:r>
    </w:p>
    <w:p w:rsidR="00615EB8" w:rsidRDefault="00615EB8" w:rsidP="00615EB8">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31.03.2017 r. zgłoszą pisemne uczestnictwo w przetargu, przedstawiając </w:t>
      </w:r>
      <w:r>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(j.t. Dz. U. z 2014 r. </w:t>
      </w:r>
      <w:r>
        <w:rPr>
          <w:rFonts w:ascii="Arial" w:hAnsi="Arial" w:cs="Arial"/>
          <w:sz w:val="20"/>
          <w:szCs w:val="20"/>
        </w:rPr>
        <w:br/>
        <w:t>poz. 1090 ze zm.).</w:t>
      </w:r>
    </w:p>
    <w:p w:rsidR="00615EB8" w:rsidRDefault="00615EB8" w:rsidP="00615EB8">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615EB8" w:rsidRDefault="00615EB8" w:rsidP="00615EB8">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615EB8" w:rsidRDefault="00615EB8" w:rsidP="00615EB8">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615EB8" w:rsidRDefault="00615EB8" w:rsidP="00615EB8">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615EB8" w:rsidRDefault="00615EB8" w:rsidP="00615EB8">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615EB8" w:rsidRDefault="00615EB8" w:rsidP="00615EB8">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615EB8" w:rsidRDefault="00615EB8" w:rsidP="00615EB8">
      <w:pPr>
        <w:pStyle w:val="Akapitzlist"/>
        <w:numPr>
          <w:ilvl w:val="0"/>
          <w:numId w:val="2"/>
        </w:numPr>
        <w:jc w:val="both"/>
        <w:rPr>
          <w:rFonts w:ascii="Arial" w:hAnsi="Arial" w:cs="Arial"/>
          <w:b/>
          <w:sz w:val="20"/>
          <w:szCs w:val="20"/>
        </w:rPr>
      </w:pPr>
      <w:r>
        <w:rPr>
          <w:rFonts w:ascii="Arial" w:hAnsi="Arial" w:cs="Arial"/>
          <w:b/>
          <w:sz w:val="20"/>
          <w:szCs w:val="20"/>
        </w:rPr>
        <w:t>Przetarg odbędzie się w dniu 5 kwietnia 2017 r. o godz. 10</w:t>
      </w:r>
      <w:r>
        <w:rPr>
          <w:rFonts w:ascii="Arial" w:hAnsi="Arial" w:cs="Arial"/>
          <w:b/>
          <w:sz w:val="20"/>
          <w:szCs w:val="20"/>
          <w:vertAlign w:val="superscript"/>
        </w:rPr>
        <w:t>40</w:t>
      </w:r>
      <w:r>
        <w:rPr>
          <w:rFonts w:ascii="Arial" w:hAnsi="Arial" w:cs="Arial"/>
          <w:b/>
          <w:sz w:val="20"/>
          <w:szCs w:val="20"/>
        </w:rPr>
        <w:t xml:space="preserve"> w siedzibie Urzędu Miasta </w:t>
      </w:r>
      <w:r>
        <w:rPr>
          <w:rFonts w:ascii="Arial" w:hAnsi="Arial" w:cs="Arial"/>
          <w:b/>
          <w:sz w:val="20"/>
          <w:szCs w:val="20"/>
        </w:rPr>
        <w:br/>
        <w:t>w Krośnie Odrzańskim ul. Parkowa 1, budynek B, pokój nr 20.</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lastRenderedPageBreak/>
        <w:t>Koszt zawarcia aktu notarialnego obciąża w całości kupującego.</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615EB8" w:rsidRDefault="00615EB8" w:rsidP="00615EB8">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r>
        <w:rPr>
          <w:rFonts w:ascii="Arial" w:hAnsi="Arial" w:cs="Arial"/>
          <w:sz w:val="20"/>
          <w:szCs w:val="20"/>
        </w:rPr>
        <w:t>Krosno Odrzańskie,   21 lutego 2017 r.</w:t>
      </w: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Pr>
        <w:rPr>
          <w:rFonts w:ascii="Arial" w:hAnsi="Arial" w:cs="Arial"/>
          <w:sz w:val="20"/>
          <w:szCs w:val="20"/>
        </w:rPr>
      </w:pPr>
    </w:p>
    <w:p w:rsidR="00615EB8" w:rsidRDefault="00615EB8" w:rsidP="00615EB8"/>
    <w:p w:rsidR="004B5072" w:rsidRDefault="004B5072">
      <w:bookmarkStart w:id="0" w:name="_GoBack"/>
      <w:bookmarkEnd w:id="0"/>
    </w:p>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B8"/>
    <w:rsid w:val="004B5072"/>
    <w:rsid w:val="00615EB8"/>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EB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5EB8"/>
    <w:pPr>
      <w:spacing w:after="0" w:line="240" w:lineRule="auto"/>
    </w:pPr>
    <w:rPr>
      <w:rFonts w:ascii="Calibri" w:eastAsia="Calibri" w:hAnsi="Calibri" w:cs="Times New Roman"/>
    </w:rPr>
  </w:style>
  <w:style w:type="paragraph" w:styleId="Akapitzlist">
    <w:name w:val="List Paragraph"/>
    <w:basedOn w:val="Normalny"/>
    <w:uiPriority w:val="34"/>
    <w:qFormat/>
    <w:rsid w:val="00615EB8"/>
    <w:pPr>
      <w:ind w:left="720"/>
      <w:contextualSpacing/>
    </w:pPr>
  </w:style>
  <w:style w:type="character" w:styleId="Pogrubienie">
    <w:name w:val="Strong"/>
    <w:basedOn w:val="Domylnaczcionkaakapitu"/>
    <w:qFormat/>
    <w:rsid w:val="00615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EB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5EB8"/>
    <w:pPr>
      <w:spacing w:after="0" w:line="240" w:lineRule="auto"/>
    </w:pPr>
    <w:rPr>
      <w:rFonts w:ascii="Calibri" w:eastAsia="Calibri" w:hAnsi="Calibri" w:cs="Times New Roman"/>
    </w:rPr>
  </w:style>
  <w:style w:type="paragraph" w:styleId="Akapitzlist">
    <w:name w:val="List Paragraph"/>
    <w:basedOn w:val="Normalny"/>
    <w:uiPriority w:val="34"/>
    <w:qFormat/>
    <w:rsid w:val="00615EB8"/>
    <w:pPr>
      <w:ind w:left="720"/>
      <w:contextualSpacing/>
    </w:pPr>
  </w:style>
  <w:style w:type="character" w:styleId="Pogrubienie">
    <w:name w:val="Strong"/>
    <w:basedOn w:val="Domylnaczcionkaakapitu"/>
    <w:qFormat/>
    <w:rsid w:val="0061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6451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1</cp:revision>
  <dcterms:created xsi:type="dcterms:W3CDTF">2017-02-21T07:31:00Z</dcterms:created>
  <dcterms:modified xsi:type="dcterms:W3CDTF">2017-02-21T07:31:00Z</dcterms:modified>
</cp:coreProperties>
</file>