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Burmistrz Krosna Odrzańskiego ogłasza pierwszy ustny przetarg nieograniczony na sprzedaż nieruchomości niezabudowanej oznaczonej jako działka o numerze ewidencyjnym 1225/</w:t>
      </w:r>
      <w:r w:rsidR="009658B1">
        <w:rPr>
          <w:rFonts w:ascii="Arial" w:hAnsi="Arial" w:cs="Arial"/>
          <w:sz w:val="20"/>
          <w:szCs w:val="20"/>
        </w:rPr>
        <w:t>5</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313424">
        <w:rPr>
          <w:rFonts w:ascii="Arial" w:hAnsi="Arial" w:cs="Arial"/>
          <w:sz w:val="20"/>
          <w:szCs w:val="20"/>
        </w:rPr>
        <w:t>5</w:t>
      </w:r>
      <w:r>
        <w:rPr>
          <w:rFonts w:ascii="Arial" w:hAnsi="Arial" w:cs="Arial"/>
          <w:sz w:val="20"/>
          <w:szCs w:val="20"/>
        </w:rPr>
        <w:t xml:space="preserve"> o powierzchni </w:t>
      </w:r>
      <w:r w:rsidR="009658B1">
        <w:rPr>
          <w:rFonts w:ascii="Arial" w:hAnsi="Arial" w:cs="Arial"/>
          <w:sz w:val="20"/>
          <w:szCs w:val="20"/>
        </w:rPr>
        <w:t>773</w:t>
      </w:r>
      <w:r>
        <w:rPr>
          <w:rFonts w:ascii="Arial" w:hAnsi="Arial" w:cs="Arial"/>
          <w:sz w:val="20"/>
          <w:szCs w:val="20"/>
        </w:rPr>
        <w:t xml:space="preserve"> m² położna </w:t>
      </w:r>
      <w:r>
        <w:rPr>
          <w:rFonts w:ascii="Arial" w:hAnsi="Arial" w:cs="Arial"/>
          <w:sz w:val="20"/>
          <w:szCs w:val="20"/>
        </w:rPr>
        <w:br/>
        <w:t xml:space="preserve">w 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MN – tereny </w:t>
      </w:r>
      <w:r w:rsidR="00C37631">
        <w:rPr>
          <w:rFonts w:ascii="Arial" w:hAnsi="Arial" w:cs="Arial"/>
          <w:sz w:val="20"/>
          <w:szCs w:val="20"/>
        </w:rPr>
        <w:t>mieszkalnictwa jednorodzinnego.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9658B1">
            <w:pPr>
              <w:spacing w:after="0" w:line="240" w:lineRule="auto"/>
              <w:jc w:val="both"/>
              <w:rPr>
                <w:rFonts w:ascii="Arial" w:hAnsi="Arial" w:cs="Arial"/>
                <w:sz w:val="20"/>
                <w:szCs w:val="20"/>
              </w:rPr>
            </w:pPr>
            <w:r>
              <w:rPr>
                <w:rFonts w:ascii="Arial" w:hAnsi="Arial" w:cs="Arial"/>
                <w:sz w:val="20"/>
                <w:szCs w:val="20"/>
              </w:rPr>
              <w:t>1225/</w:t>
            </w:r>
            <w:r w:rsidR="009658B1">
              <w:rPr>
                <w:rFonts w:ascii="Arial" w:hAnsi="Arial" w:cs="Arial"/>
                <w:sz w:val="20"/>
                <w:szCs w:val="20"/>
              </w:rPr>
              <w:t>5</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rsidP="009658B1">
            <w:pPr>
              <w:spacing w:after="0" w:line="240" w:lineRule="auto"/>
              <w:jc w:val="center"/>
              <w:rPr>
                <w:rFonts w:ascii="Arial" w:hAnsi="Arial" w:cs="Arial"/>
                <w:sz w:val="20"/>
                <w:szCs w:val="20"/>
              </w:rPr>
            </w:pPr>
            <w:r>
              <w:rPr>
                <w:rFonts w:ascii="Arial" w:hAnsi="Arial" w:cs="Arial"/>
                <w:sz w:val="20"/>
                <w:szCs w:val="20"/>
              </w:rPr>
              <w:t>7</w:t>
            </w:r>
            <w:r w:rsidR="009658B1">
              <w:rPr>
                <w:rFonts w:ascii="Arial" w:hAnsi="Arial" w:cs="Arial"/>
                <w:sz w:val="20"/>
                <w:szCs w:val="20"/>
              </w:rPr>
              <w:t>73</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rsidP="009658B1">
            <w:pPr>
              <w:spacing w:after="0" w:line="240" w:lineRule="auto"/>
              <w:jc w:val="center"/>
              <w:rPr>
                <w:rFonts w:ascii="Arial" w:hAnsi="Arial" w:cs="Arial"/>
                <w:sz w:val="20"/>
                <w:szCs w:val="20"/>
              </w:rPr>
            </w:pPr>
            <w:r>
              <w:rPr>
                <w:rFonts w:ascii="Arial" w:hAnsi="Arial" w:cs="Arial"/>
                <w:sz w:val="20"/>
                <w:szCs w:val="20"/>
              </w:rPr>
              <w:t>5</w:t>
            </w:r>
            <w:r w:rsidR="009658B1">
              <w:rPr>
                <w:rFonts w:ascii="Arial" w:hAnsi="Arial" w:cs="Arial"/>
                <w:sz w:val="20"/>
                <w:szCs w:val="20"/>
              </w:rPr>
              <w:t>3</w:t>
            </w:r>
            <w:r>
              <w:rPr>
                <w:rFonts w:ascii="Arial" w:hAnsi="Arial" w:cs="Arial"/>
                <w:sz w:val="20"/>
                <w:szCs w:val="20"/>
              </w:rPr>
              <w:t xml:space="preserve"> </w:t>
            </w:r>
            <w:r w:rsidR="009658B1">
              <w:rPr>
                <w:rFonts w:ascii="Arial" w:hAnsi="Arial" w:cs="Arial"/>
                <w:sz w:val="20"/>
                <w:szCs w:val="20"/>
              </w:rPr>
              <w:t>1</w:t>
            </w:r>
            <w:r>
              <w:rPr>
                <w:rFonts w:ascii="Arial" w:hAnsi="Arial" w:cs="Arial"/>
                <w:sz w:val="20"/>
                <w:szCs w:val="20"/>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sz w:val="20"/>
                <w:szCs w:val="20"/>
              </w:rPr>
            </w:pPr>
            <w:r>
              <w:rPr>
                <w:rFonts w:ascii="Arial" w:hAnsi="Arial" w:cs="Arial"/>
                <w:sz w:val="20"/>
                <w:szCs w:val="20"/>
              </w:rPr>
              <w:t>6 000,00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sz w:val="20"/>
                <w:szCs w:val="20"/>
              </w:rPr>
            </w:pPr>
            <w:r>
              <w:rPr>
                <w:rFonts w:ascii="Arial" w:hAnsi="Arial" w:cs="Arial"/>
                <w:sz w:val="20"/>
                <w:szCs w:val="20"/>
              </w:rPr>
              <w:t>600,00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Pr="00313424" w:rsidRDefault="00CE69A6" w:rsidP="00CE69A6">
      <w:pPr>
        <w:pStyle w:val="Akapitzlist"/>
        <w:numPr>
          <w:ilvl w:val="0"/>
          <w:numId w:val="1"/>
        </w:numPr>
        <w:jc w:val="both"/>
        <w:rPr>
          <w:rFonts w:ascii="Arial" w:hAnsi="Arial" w:cs="Arial"/>
          <w:b/>
          <w:sz w:val="20"/>
          <w:szCs w:val="20"/>
        </w:rPr>
      </w:pPr>
      <w:r w:rsidRPr="00313424">
        <w:rPr>
          <w:rFonts w:ascii="Arial" w:hAnsi="Arial" w:cs="Arial"/>
          <w:b/>
          <w:sz w:val="20"/>
          <w:szCs w:val="20"/>
          <w:u w:val="single"/>
        </w:rPr>
        <w:t>Do ceny sprzedaży nieruchomości zostanie zastosow</w:t>
      </w:r>
      <w:r w:rsidR="00313424">
        <w:rPr>
          <w:rFonts w:ascii="Arial" w:hAnsi="Arial" w:cs="Arial"/>
          <w:b/>
          <w:sz w:val="20"/>
          <w:szCs w:val="20"/>
          <w:u w:val="single"/>
        </w:rPr>
        <w:t>ana stawka podatku od towarów i </w:t>
      </w:r>
      <w:r w:rsidRPr="00313424">
        <w:rPr>
          <w:rFonts w:ascii="Arial" w:hAnsi="Arial" w:cs="Arial"/>
          <w:b/>
          <w:sz w:val="20"/>
          <w:szCs w:val="20"/>
          <w:u w:val="single"/>
        </w:rPr>
        <w:t>usług zgodnie z obowiązującymi przepisami na dzień transakcji.</w:t>
      </w:r>
      <w:r w:rsidRPr="00313424">
        <w:rPr>
          <w:rFonts w:ascii="Arial" w:hAnsi="Arial" w:cs="Arial"/>
          <w:b/>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19</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10</w:t>
      </w:r>
      <w:r w:rsidR="009658B1">
        <w:rPr>
          <w:rFonts w:ascii="Arial" w:hAnsi="Arial" w:cs="Arial"/>
          <w:b/>
          <w:sz w:val="20"/>
          <w:szCs w:val="20"/>
          <w:vertAlign w:val="superscript"/>
        </w:rPr>
        <w:t>0</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313424"/>
    <w:rsid w:val="0038465B"/>
    <w:rsid w:val="004B5072"/>
    <w:rsid w:val="006712BC"/>
    <w:rsid w:val="009324BB"/>
    <w:rsid w:val="009658B1"/>
    <w:rsid w:val="00AA6722"/>
    <w:rsid w:val="00C31D92"/>
    <w:rsid w:val="00C37631"/>
    <w:rsid w:val="00CA32AE"/>
    <w:rsid w:val="00CE6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7236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4</cp:revision>
  <cp:lastPrinted>2017-04-07T06:42:00Z</cp:lastPrinted>
  <dcterms:created xsi:type="dcterms:W3CDTF">2017-04-06T07:03:00Z</dcterms:created>
  <dcterms:modified xsi:type="dcterms:W3CDTF">2017-04-07T06:42:00Z</dcterms:modified>
</cp:coreProperties>
</file>