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89" w:rsidRDefault="00A94489" w:rsidP="00A94489">
      <w:pPr>
        <w:pStyle w:val="Textbody"/>
        <w:keepNext/>
        <w:tabs>
          <w:tab w:val="left" w:pos="7500"/>
        </w:tabs>
        <w:spacing w:after="0"/>
        <w:jc w:val="center"/>
        <w:rPr>
          <w:rFonts w:ascii="Calibri" w:hAnsi="Calibri"/>
          <w:b/>
          <w:color w:val="000000"/>
          <w:sz w:val="22"/>
        </w:rPr>
      </w:pPr>
      <w:bookmarkStart w:id="0" w:name="_GoBack"/>
      <w:bookmarkEnd w:id="0"/>
      <w:proofErr w:type="spellStart"/>
      <w:r>
        <w:rPr>
          <w:rFonts w:ascii="Calibri" w:hAnsi="Calibri"/>
          <w:b/>
          <w:color w:val="000000"/>
          <w:sz w:val="22"/>
        </w:rPr>
        <w:t>Ogłoszenie</w:t>
      </w:r>
      <w:proofErr w:type="spellEnd"/>
      <w:r>
        <w:rPr>
          <w:rFonts w:ascii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hAnsi="Calibri"/>
          <w:b/>
          <w:color w:val="000000"/>
          <w:sz w:val="22"/>
        </w:rPr>
        <w:t>Nr</w:t>
      </w:r>
      <w:proofErr w:type="spellEnd"/>
      <w:r>
        <w:rPr>
          <w:rFonts w:ascii="Calibri" w:hAnsi="Calibri"/>
          <w:b/>
          <w:color w:val="000000"/>
          <w:sz w:val="22"/>
        </w:rPr>
        <w:t xml:space="preserve"> 6/I/2018</w:t>
      </w:r>
    </w:p>
    <w:p w:rsidR="00A94489" w:rsidRDefault="00A94489" w:rsidP="00A94489">
      <w:pPr>
        <w:pStyle w:val="Textbody"/>
        <w:spacing w:after="0"/>
        <w:jc w:val="center"/>
        <w:rPr>
          <w:rFonts w:ascii="Calibri" w:hAnsi="Calibri"/>
          <w:b/>
          <w:color w:val="000000"/>
          <w:sz w:val="22"/>
        </w:rPr>
      </w:pPr>
      <w:proofErr w:type="spellStart"/>
      <w:r>
        <w:rPr>
          <w:rFonts w:ascii="Calibri" w:hAnsi="Calibri"/>
          <w:b/>
          <w:color w:val="000000"/>
          <w:sz w:val="22"/>
        </w:rPr>
        <w:t>Burmistrza</w:t>
      </w:r>
      <w:proofErr w:type="spellEnd"/>
      <w:r>
        <w:rPr>
          <w:rFonts w:ascii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hAnsi="Calibri"/>
          <w:b/>
          <w:color w:val="000000"/>
          <w:sz w:val="22"/>
        </w:rPr>
        <w:t>Miasta</w:t>
      </w:r>
      <w:proofErr w:type="spellEnd"/>
      <w:r>
        <w:rPr>
          <w:rFonts w:ascii="Calibri" w:hAnsi="Calibri"/>
          <w:b/>
          <w:color w:val="000000"/>
          <w:sz w:val="22"/>
        </w:rPr>
        <w:t xml:space="preserve"> i </w:t>
      </w:r>
      <w:proofErr w:type="spellStart"/>
      <w:r>
        <w:rPr>
          <w:rFonts w:ascii="Calibri" w:hAnsi="Calibri"/>
          <w:b/>
          <w:color w:val="000000"/>
          <w:sz w:val="22"/>
        </w:rPr>
        <w:t>Gminy</w:t>
      </w:r>
      <w:proofErr w:type="spellEnd"/>
      <w:r>
        <w:rPr>
          <w:rFonts w:ascii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hAnsi="Calibri"/>
          <w:b/>
          <w:color w:val="000000"/>
          <w:sz w:val="22"/>
        </w:rPr>
        <w:t>Witnica</w:t>
      </w:r>
      <w:proofErr w:type="spellEnd"/>
    </w:p>
    <w:p w:rsidR="00A94489" w:rsidRDefault="00A94489" w:rsidP="00A94489">
      <w:pPr>
        <w:pStyle w:val="Textbody"/>
        <w:spacing w:after="0"/>
        <w:jc w:val="center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 xml:space="preserve">z </w:t>
      </w:r>
      <w:proofErr w:type="spellStart"/>
      <w:r>
        <w:rPr>
          <w:rFonts w:ascii="Calibri" w:hAnsi="Calibri"/>
          <w:b/>
          <w:color w:val="000000"/>
          <w:sz w:val="22"/>
        </w:rPr>
        <w:t>dnia</w:t>
      </w:r>
      <w:proofErr w:type="spellEnd"/>
      <w:r>
        <w:rPr>
          <w:rFonts w:ascii="Calibri" w:hAnsi="Calibri"/>
          <w:b/>
          <w:color w:val="000000"/>
          <w:sz w:val="22"/>
        </w:rPr>
        <w:t xml:space="preserve"> 10 </w:t>
      </w:r>
      <w:proofErr w:type="spellStart"/>
      <w:r>
        <w:rPr>
          <w:rFonts w:ascii="Calibri" w:hAnsi="Calibri"/>
          <w:b/>
          <w:color w:val="000000"/>
          <w:sz w:val="22"/>
        </w:rPr>
        <w:t>lip</w:t>
      </w:r>
      <w:r w:rsidR="00373CBE">
        <w:rPr>
          <w:rFonts w:ascii="Calibri" w:hAnsi="Calibri"/>
          <w:b/>
          <w:color w:val="000000"/>
          <w:sz w:val="22"/>
        </w:rPr>
        <w:t>c</w:t>
      </w:r>
      <w:r>
        <w:rPr>
          <w:rFonts w:ascii="Calibri" w:hAnsi="Calibri"/>
          <w:b/>
          <w:color w:val="000000"/>
          <w:sz w:val="22"/>
        </w:rPr>
        <w:t>a</w:t>
      </w:r>
      <w:proofErr w:type="spellEnd"/>
      <w:r>
        <w:rPr>
          <w:rFonts w:ascii="Calibri" w:hAnsi="Calibri"/>
          <w:b/>
          <w:color w:val="000000"/>
          <w:sz w:val="22"/>
        </w:rPr>
        <w:t xml:space="preserve"> 2018r.</w:t>
      </w:r>
    </w:p>
    <w:p w:rsidR="00A94489" w:rsidRDefault="00A94489" w:rsidP="00A94489">
      <w:pPr>
        <w:pStyle w:val="Textbody"/>
        <w:spacing w:after="0"/>
        <w:jc w:val="center"/>
        <w:rPr>
          <w:rFonts w:ascii="Calibri" w:hAnsi="Calibri"/>
          <w:b/>
          <w:color w:val="000000"/>
          <w:sz w:val="22"/>
        </w:rPr>
      </w:pPr>
      <w:proofErr w:type="spellStart"/>
      <w:r>
        <w:rPr>
          <w:rFonts w:ascii="Calibri" w:hAnsi="Calibri"/>
          <w:b/>
          <w:color w:val="000000"/>
          <w:sz w:val="22"/>
        </w:rPr>
        <w:t>Ogłaszam</w:t>
      </w:r>
      <w:proofErr w:type="spellEnd"/>
      <w:r>
        <w:rPr>
          <w:rFonts w:ascii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hAnsi="Calibri"/>
          <w:b/>
          <w:color w:val="000000"/>
          <w:sz w:val="22"/>
        </w:rPr>
        <w:t>pierwszy</w:t>
      </w:r>
      <w:proofErr w:type="spellEnd"/>
      <w:r>
        <w:rPr>
          <w:rFonts w:ascii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hAnsi="Calibri"/>
          <w:b/>
          <w:color w:val="000000"/>
          <w:sz w:val="22"/>
        </w:rPr>
        <w:t>przetarg</w:t>
      </w:r>
      <w:proofErr w:type="spellEnd"/>
      <w:r>
        <w:rPr>
          <w:rFonts w:ascii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hAnsi="Calibri"/>
          <w:b/>
          <w:color w:val="000000"/>
          <w:sz w:val="22"/>
        </w:rPr>
        <w:t>ustny</w:t>
      </w:r>
      <w:proofErr w:type="spellEnd"/>
      <w:r>
        <w:rPr>
          <w:rFonts w:ascii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hAnsi="Calibri"/>
          <w:b/>
          <w:color w:val="000000"/>
          <w:sz w:val="22"/>
        </w:rPr>
        <w:t>nieograniczony</w:t>
      </w:r>
      <w:proofErr w:type="spellEnd"/>
      <w:r>
        <w:rPr>
          <w:rFonts w:ascii="Calibri" w:hAnsi="Calibri"/>
          <w:b/>
          <w:color w:val="000000"/>
          <w:sz w:val="22"/>
        </w:rPr>
        <w:t xml:space="preserve"> na </w:t>
      </w:r>
      <w:proofErr w:type="spellStart"/>
      <w:r>
        <w:rPr>
          <w:rFonts w:ascii="Calibri" w:hAnsi="Calibri"/>
          <w:b/>
          <w:color w:val="000000"/>
          <w:sz w:val="22"/>
        </w:rPr>
        <w:t>sprzedaż</w:t>
      </w:r>
      <w:proofErr w:type="spellEnd"/>
      <w:r>
        <w:rPr>
          <w:rFonts w:ascii="Calibri" w:hAnsi="Calibri"/>
          <w:b/>
          <w:color w:val="000000"/>
          <w:sz w:val="22"/>
        </w:rPr>
        <w:t xml:space="preserve"> na </w:t>
      </w:r>
      <w:proofErr w:type="spellStart"/>
      <w:r>
        <w:rPr>
          <w:rFonts w:ascii="Calibri" w:hAnsi="Calibri"/>
          <w:b/>
          <w:color w:val="000000"/>
          <w:sz w:val="22"/>
        </w:rPr>
        <w:t>własność</w:t>
      </w:r>
      <w:proofErr w:type="spellEnd"/>
      <w:r>
        <w:rPr>
          <w:rFonts w:ascii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hAnsi="Calibri"/>
          <w:b/>
          <w:color w:val="000000"/>
          <w:sz w:val="22"/>
        </w:rPr>
        <w:t>nieruchomości</w:t>
      </w:r>
      <w:proofErr w:type="spellEnd"/>
      <w:r>
        <w:rPr>
          <w:rFonts w:ascii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hAnsi="Calibri"/>
          <w:b/>
          <w:color w:val="000000"/>
          <w:sz w:val="22"/>
        </w:rPr>
        <w:t>niezabudowanej</w:t>
      </w:r>
      <w:proofErr w:type="spellEnd"/>
    </w:p>
    <w:p w:rsidR="00A94489" w:rsidRDefault="00A94489" w:rsidP="00A94489">
      <w:pPr>
        <w:pStyle w:val="Textbody"/>
        <w:spacing w:after="0"/>
        <w:jc w:val="center"/>
        <w:rPr>
          <w:rFonts w:ascii="Calibri" w:hAnsi="Calibri"/>
          <w:b/>
          <w:color w:val="000000"/>
          <w:sz w:val="22"/>
        </w:rPr>
      </w:pPr>
      <w:proofErr w:type="spellStart"/>
      <w:r>
        <w:rPr>
          <w:rFonts w:ascii="Calibri" w:hAnsi="Calibri"/>
          <w:b/>
          <w:color w:val="000000"/>
          <w:sz w:val="22"/>
        </w:rPr>
        <w:t>położonej</w:t>
      </w:r>
      <w:proofErr w:type="spellEnd"/>
      <w:r>
        <w:rPr>
          <w:rFonts w:ascii="Calibri" w:hAnsi="Calibri"/>
          <w:b/>
          <w:color w:val="000000"/>
          <w:sz w:val="22"/>
        </w:rPr>
        <w:t xml:space="preserve"> w </w:t>
      </w:r>
      <w:proofErr w:type="spellStart"/>
      <w:r>
        <w:rPr>
          <w:rFonts w:ascii="Calibri" w:hAnsi="Calibri"/>
          <w:b/>
          <w:color w:val="000000"/>
          <w:sz w:val="22"/>
        </w:rPr>
        <w:t>Witnicy</w:t>
      </w:r>
      <w:proofErr w:type="spellEnd"/>
    </w:p>
    <w:p w:rsidR="00A94489" w:rsidRDefault="00A94489" w:rsidP="00A94489">
      <w:pPr>
        <w:pStyle w:val="Textbody"/>
        <w:spacing w:after="0"/>
        <w:jc w:val="center"/>
        <w:rPr>
          <w:color w:val="000000"/>
        </w:rPr>
      </w:pPr>
    </w:p>
    <w:tbl>
      <w:tblPr>
        <w:tblW w:w="14492" w:type="dxa"/>
        <w:tblInd w:w="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939"/>
        <w:gridCol w:w="1559"/>
        <w:gridCol w:w="1134"/>
        <w:gridCol w:w="840"/>
        <w:gridCol w:w="719"/>
        <w:gridCol w:w="2694"/>
        <w:gridCol w:w="2126"/>
        <w:gridCol w:w="1843"/>
        <w:gridCol w:w="1277"/>
        <w:gridCol w:w="957"/>
      </w:tblGrid>
      <w:tr w:rsidR="00A94489" w:rsidTr="00A94489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Przetarg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przeprowadzenia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poprzednich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przetargów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Położenie</w:t>
            </w:r>
            <w:proofErr w:type="spellEnd"/>
          </w:p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ulica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działki</w:t>
            </w:r>
            <w:proofErr w:type="spellEnd"/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działki</w:t>
            </w:r>
            <w:proofErr w:type="spellEnd"/>
            <w:r>
              <w:rPr>
                <w:sz w:val="20"/>
                <w:szCs w:val="20"/>
              </w:rPr>
              <w:t xml:space="preserve"> [ha]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nieruchomości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Przeznaczenie</w:t>
            </w:r>
            <w:proofErr w:type="spellEnd"/>
          </w:p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nieruchomości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Księga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wieczysta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wywoławcza</w:t>
            </w:r>
            <w:proofErr w:type="spellEnd"/>
            <w:r>
              <w:rPr>
                <w:sz w:val="20"/>
                <w:szCs w:val="20"/>
              </w:rPr>
              <w:t xml:space="preserve"> netto</w:t>
            </w:r>
          </w:p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 xml:space="preserve"> ]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94489" w:rsidRDefault="00A94489" w:rsidP="00373CBE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wadium</w:t>
            </w:r>
            <w:proofErr w:type="spellEnd"/>
          </w:p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</w:tr>
      <w:tr w:rsidR="00A94489" w:rsidTr="00A94489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pierwszy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Świerkowa</w:t>
            </w:r>
            <w:proofErr w:type="spellEnd"/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TableContents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388/47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Podtytu"/>
              <w:spacing w:after="11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0.0927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A94489">
            <w:pPr>
              <w:pStyle w:val="Podtytu"/>
              <w:spacing w:after="11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Teren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działki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płaski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o </w:t>
            </w:r>
            <w:proofErr w:type="spellStart"/>
            <w:r>
              <w:rPr>
                <w:b w:val="0"/>
                <w:sz w:val="18"/>
                <w:szCs w:val="18"/>
              </w:rPr>
              <w:t>kształcie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regularnym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zbliżonym</w:t>
            </w:r>
            <w:proofErr w:type="spellEnd"/>
            <w:r>
              <w:rPr>
                <w:b w:val="0"/>
                <w:sz w:val="18"/>
                <w:szCs w:val="18"/>
              </w:rPr>
              <w:t xml:space="preserve"> do </w:t>
            </w:r>
            <w:proofErr w:type="spellStart"/>
            <w:r>
              <w:rPr>
                <w:b w:val="0"/>
                <w:sz w:val="18"/>
                <w:szCs w:val="18"/>
              </w:rPr>
              <w:t>prostokąta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>
              <w:rPr>
                <w:b w:val="0"/>
                <w:sz w:val="18"/>
                <w:szCs w:val="18"/>
              </w:rPr>
              <w:t>Dojazd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gruntową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>
              <w:rPr>
                <w:b w:val="0"/>
                <w:sz w:val="18"/>
                <w:szCs w:val="18"/>
              </w:rPr>
              <w:t>Działka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porośnięta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drzewami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oraz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krzewami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których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wycięcie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będzie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wymagało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uzyskania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odpowiedniego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zezwolenia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Na </w:t>
            </w:r>
            <w:proofErr w:type="spellStart"/>
            <w:r>
              <w:rPr>
                <w:b w:val="0"/>
                <w:sz w:val="18"/>
                <w:szCs w:val="18"/>
              </w:rPr>
              <w:t>terenie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nieruchomości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nie </w:t>
            </w:r>
            <w:proofErr w:type="spellStart"/>
            <w:r>
              <w:rPr>
                <w:b w:val="0"/>
                <w:sz w:val="18"/>
                <w:szCs w:val="18"/>
              </w:rPr>
              <w:t>wyklucza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się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wystąpienia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elementów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uzbrojenia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podziemnego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 i </w:t>
            </w:r>
            <w:proofErr w:type="spellStart"/>
            <w:r>
              <w:rPr>
                <w:b w:val="0"/>
                <w:sz w:val="18"/>
                <w:szCs w:val="18"/>
              </w:rPr>
              <w:t>budowli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podziemnych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oraz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odpadów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wtórnych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takich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jak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wysypisko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śmieci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gruzu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materiałów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budowlanych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oraz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innych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odpadów</w:t>
            </w:r>
            <w:proofErr w:type="spellEnd"/>
            <w:r>
              <w:rPr>
                <w:b w:val="0"/>
                <w:sz w:val="18"/>
                <w:szCs w:val="18"/>
              </w:rPr>
              <w:t xml:space="preserve">                       </w:t>
            </w:r>
            <w:r w:rsidR="004C6619">
              <w:rPr>
                <w:b w:val="0"/>
                <w:sz w:val="18"/>
                <w:szCs w:val="18"/>
              </w:rPr>
              <w:t xml:space="preserve">                           </w:t>
            </w:r>
            <w:r>
              <w:rPr>
                <w:b w:val="0"/>
                <w:sz w:val="18"/>
                <w:szCs w:val="18"/>
              </w:rPr>
              <w:t xml:space="preserve"> i </w:t>
            </w:r>
            <w:proofErr w:type="spellStart"/>
            <w:r>
              <w:rPr>
                <w:b w:val="0"/>
                <w:sz w:val="18"/>
                <w:szCs w:val="18"/>
              </w:rPr>
              <w:t>zanieczyszczeń</w:t>
            </w:r>
            <w:proofErr w:type="spellEnd"/>
            <w:r>
              <w:rPr>
                <w:b w:val="0"/>
                <w:sz w:val="18"/>
                <w:szCs w:val="18"/>
              </w:rPr>
              <w:t xml:space="preserve"> -  nie </w:t>
            </w:r>
            <w:proofErr w:type="spellStart"/>
            <w:r>
              <w:rPr>
                <w:b w:val="0"/>
                <w:sz w:val="18"/>
                <w:szCs w:val="18"/>
              </w:rPr>
              <w:t>uwidocznionych</w:t>
            </w:r>
            <w:proofErr w:type="spellEnd"/>
            <w:r>
              <w:rPr>
                <w:b w:val="0"/>
                <w:sz w:val="18"/>
                <w:szCs w:val="18"/>
              </w:rPr>
              <w:t xml:space="preserve"> na </w:t>
            </w:r>
            <w:proofErr w:type="spellStart"/>
            <w:r>
              <w:rPr>
                <w:b w:val="0"/>
                <w:sz w:val="18"/>
                <w:szCs w:val="18"/>
              </w:rPr>
              <w:t>mapie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>
              <w:rPr>
                <w:b w:val="0"/>
                <w:sz w:val="18"/>
                <w:szCs w:val="18"/>
              </w:rPr>
              <w:t>Ewentualne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koszty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związane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z ich </w:t>
            </w:r>
            <w:proofErr w:type="spellStart"/>
            <w:r>
              <w:rPr>
                <w:b w:val="0"/>
                <w:sz w:val="18"/>
                <w:szCs w:val="18"/>
              </w:rPr>
              <w:t>usunięciem</w:t>
            </w:r>
            <w:proofErr w:type="spellEnd"/>
            <w:r>
              <w:rPr>
                <w:b w:val="0"/>
                <w:sz w:val="18"/>
                <w:szCs w:val="18"/>
              </w:rPr>
              <w:t xml:space="preserve">  i </w:t>
            </w:r>
            <w:proofErr w:type="spellStart"/>
            <w:r>
              <w:rPr>
                <w:b w:val="0"/>
                <w:sz w:val="18"/>
                <w:szCs w:val="18"/>
              </w:rPr>
              <w:t>uporządkowaniem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terenu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 a </w:t>
            </w:r>
            <w:proofErr w:type="spellStart"/>
            <w:r>
              <w:rPr>
                <w:b w:val="0"/>
                <w:sz w:val="18"/>
                <w:szCs w:val="18"/>
              </w:rPr>
              <w:t>także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koszty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związane</w:t>
            </w:r>
            <w:proofErr w:type="spellEnd"/>
            <w:r w:rsidR="004C6619">
              <w:rPr>
                <w:b w:val="0"/>
                <w:sz w:val="18"/>
                <w:szCs w:val="18"/>
              </w:rPr>
              <w:t xml:space="preserve">                     </w:t>
            </w:r>
            <w:r>
              <w:rPr>
                <w:b w:val="0"/>
                <w:sz w:val="18"/>
                <w:szCs w:val="18"/>
              </w:rPr>
              <w:t xml:space="preserve"> z </w:t>
            </w:r>
            <w:proofErr w:type="spellStart"/>
            <w:r>
              <w:rPr>
                <w:b w:val="0"/>
                <w:sz w:val="18"/>
                <w:szCs w:val="18"/>
              </w:rPr>
              <w:t>realizacją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inwestycji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 na </w:t>
            </w:r>
            <w:proofErr w:type="spellStart"/>
            <w:r>
              <w:rPr>
                <w:b w:val="0"/>
                <w:sz w:val="18"/>
                <w:szCs w:val="18"/>
              </w:rPr>
              <w:t>takim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terenie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obciążają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nabywcę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Podtytu"/>
              <w:rPr>
                <w:b w:val="0"/>
                <w:spacing w:val="6"/>
                <w:sz w:val="18"/>
                <w:szCs w:val="18"/>
              </w:rPr>
            </w:pPr>
            <w:proofErr w:type="spellStart"/>
            <w:r>
              <w:rPr>
                <w:b w:val="0"/>
                <w:spacing w:val="6"/>
                <w:sz w:val="18"/>
                <w:szCs w:val="18"/>
              </w:rPr>
              <w:t>Brak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miejscowego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planu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zagospodarowania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przestrzennego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.   </w:t>
            </w:r>
            <w:r w:rsidR="004C6619">
              <w:rPr>
                <w:b w:val="0"/>
                <w:spacing w:val="6"/>
                <w:sz w:val="18"/>
                <w:szCs w:val="18"/>
              </w:rPr>
              <w:t xml:space="preserve">                 </w:t>
            </w:r>
            <w:r>
              <w:rPr>
                <w:b w:val="0"/>
                <w:spacing w:val="6"/>
                <w:sz w:val="18"/>
                <w:szCs w:val="18"/>
              </w:rPr>
              <w:t xml:space="preserve">W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studium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uwarunkowań</w:t>
            </w:r>
            <w:proofErr w:type="spellEnd"/>
            <w:r w:rsidR="004C6619">
              <w:rPr>
                <w:b w:val="0"/>
                <w:spacing w:val="6"/>
                <w:sz w:val="18"/>
                <w:szCs w:val="18"/>
              </w:rPr>
              <w:t xml:space="preserve">                     </w:t>
            </w:r>
            <w:r>
              <w:rPr>
                <w:b w:val="0"/>
                <w:spacing w:val="6"/>
                <w:sz w:val="18"/>
                <w:szCs w:val="18"/>
              </w:rPr>
              <w:t xml:space="preserve"> i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kierunków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zagospodarowania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przestrzennego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teren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na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który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położona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jest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nieruchomość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oznaczony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jest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jako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strefa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terenów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zieleni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i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rekreacji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r w:rsidR="004C6619">
              <w:rPr>
                <w:b w:val="0"/>
                <w:spacing w:val="6"/>
                <w:sz w:val="18"/>
                <w:szCs w:val="18"/>
              </w:rPr>
              <w:t xml:space="preserve">                      </w:t>
            </w:r>
            <w:r>
              <w:rPr>
                <w:b w:val="0"/>
                <w:spacing w:val="6"/>
                <w:sz w:val="18"/>
                <w:szCs w:val="18"/>
              </w:rPr>
              <w:t xml:space="preserve">z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dopuszczeniem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zabudowy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mieszkaniowej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.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Szczegółowe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warunki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zagospodarowania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terenu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oraz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jego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zabudowy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określone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zostaną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r w:rsidR="004C6619">
              <w:rPr>
                <w:b w:val="0"/>
                <w:spacing w:val="6"/>
                <w:sz w:val="18"/>
                <w:szCs w:val="18"/>
              </w:rPr>
              <w:t xml:space="preserve">             </w:t>
            </w:r>
            <w:r>
              <w:rPr>
                <w:b w:val="0"/>
                <w:spacing w:val="6"/>
                <w:sz w:val="18"/>
                <w:szCs w:val="18"/>
              </w:rPr>
              <w:t xml:space="preserve">w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drodze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decyzji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 </w:t>
            </w:r>
            <w:r w:rsidR="004C6619">
              <w:rPr>
                <w:b w:val="0"/>
                <w:spacing w:val="6"/>
                <w:sz w:val="18"/>
                <w:szCs w:val="18"/>
              </w:rPr>
              <w:t xml:space="preserve">           </w:t>
            </w:r>
            <w:r>
              <w:rPr>
                <w:b w:val="0"/>
                <w:spacing w:val="6"/>
                <w:sz w:val="18"/>
                <w:szCs w:val="18"/>
              </w:rPr>
              <w:t xml:space="preserve">o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warunkach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zabudowy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oraz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zagospodarowania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pacing w:val="6"/>
                <w:sz w:val="18"/>
                <w:szCs w:val="18"/>
              </w:rPr>
              <w:t>terenu</w:t>
            </w:r>
            <w:proofErr w:type="spellEnd"/>
            <w:r>
              <w:rPr>
                <w:b w:val="0"/>
                <w:spacing w:val="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Podtytu"/>
              <w:spacing w:after="11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GW1G/00106041/6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A94489" w:rsidP="00373CBE">
            <w:pPr>
              <w:pStyle w:val="Podtytu"/>
              <w:spacing w:after="11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34.500,00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489" w:rsidRDefault="004C6619" w:rsidP="00373C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3.450</w:t>
            </w:r>
            <w:r w:rsidR="00A94489">
              <w:rPr>
                <w:sz w:val="20"/>
                <w:szCs w:val="20"/>
              </w:rPr>
              <w:t>,00</w:t>
            </w:r>
          </w:p>
        </w:tc>
      </w:tr>
    </w:tbl>
    <w:p w:rsidR="00A94489" w:rsidRDefault="00A94489" w:rsidP="00A94489">
      <w:pPr>
        <w:jc w:val="both"/>
        <w:rPr>
          <w:b/>
          <w:bCs/>
        </w:rPr>
      </w:pPr>
    </w:p>
    <w:p w:rsidR="00A94489" w:rsidRDefault="00A94489" w:rsidP="00A94489">
      <w:pPr>
        <w:jc w:val="both"/>
      </w:pPr>
      <w:proofErr w:type="spellStart"/>
      <w:r>
        <w:rPr>
          <w:b/>
          <w:bCs/>
          <w:u w:val="single"/>
        </w:rPr>
        <w:t>Przetarg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odbędzie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się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dnia</w:t>
      </w:r>
      <w:proofErr w:type="spellEnd"/>
      <w:r>
        <w:rPr>
          <w:b/>
          <w:bCs/>
          <w:u w:val="single"/>
        </w:rPr>
        <w:t xml:space="preserve"> 14 </w:t>
      </w:r>
      <w:proofErr w:type="spellStart"/>
      <w:r>
        <w:rPr>
          <w:b/>
          <w:bCs/>
          <w:u w:val="single"/>
        </w:rPr>
        <w:t>sierpnia</w:t>
      </w:r>
      <w:proofErr w:type="spellEnd"/>
      <w:r>
        <w:rPr>
          <w:b/>
          <w:bCs/>
          <w:u w:val="single"/>
        </w:rPr>
        <w:t xml:space="preserve">  2018r. o </w:t>
      </w:r>
      <w:proofErr w:type="spellStart"/>
      <w:r>
        <w:rPr>
          <w:b/>
          <w:bCs/>
          <w:u w:val="single"/>
        </w:rPr>
        <w:t>godz</w:t>
      </w:r>
      <w:proofErr w:type="spellEnd"/>
      <w:r>
        <w:rPr>
          <w:b/>
          <w:bCs/>
          <w:u w:val="single"/>
        </w:rPr>
        <w:t xml:space="preserve">. 13.00  w </w:t>
      </w:r>
      <w:proofErr w:type="spellStart"/>
      <w:r>
        <w:rPr>
          <w:b/>
          <w:bCs/>
          <w:u w:val="single"/>
        </w:rPr>
        <w:t>siedzibie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Urzędu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Miasta</w:t>
      </w:r>
      <w:proofErr w:type="spellEnd"/>
      <w:r>
        <w:rPr>
          <w:b/>
          <w:bCs/>
          <w:u w:val="single"/>
        </w:rPr>
        <w:t xml:space="preserve"> i </w:t>
      </w:r>
      <w:proofErr w:type="spellStart"/>
      <w:r>
        <w:rPr>
          <w:b/>
          <w:bCs/>
          <w:u w:val="single"/>
        </w:rPr>
        <w:t>Gminy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Witnica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przy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ul</w:t>
      </w:r>
      <w:proofErr w:type="spellEnd"/>
      <w:r>
        <w:rPr>
          <w:b/>
          <w:bCs/>
          <w:u w:val="single"/>
        </w:rPr>
        <w:t xml:space="preserve">. </w:t>
      </w:r>
      <w:proofErr w:type="spellStart"/>
      <w:r>
        <w:rPr>
          <w:b/>
          <w:bCs/>
          <w:u w:val="single"/>
        </w:rPr>
        <w:t>Plac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Andrzeja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Zabłockiego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nr</w:t>
      </w:r>
      <w:proofErr w:type="spellEnd"/>
      <w:r>
        <w:rPr>
          <w:b/>
          <w:bCs/>
          <w:u w:val="single"/>
        </w:rPr>
        <w:t xml:space="preserve"> 6, w </w:t>
      </w:r>
      <w:proofErr w:type="spellStart"/>
      <w:r>
        <w:rPr>
          <w:b/>
          <w:bCs/>
          <w:u w:val="single"/>
        </w:rPr>
        <w:t>sali</w:t>
      </w:r>
      <w:proofErr w:type="spellEnd"/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konferencyjnej.W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przetargu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mogą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brać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udział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osoby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które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wniosą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wadium</w:t>
      </w:r>
      <w:proofErr w:type="spellEnd"/>
      <w:r>
        <w:rPr>
          <w:b/>
          <w:bCs/>
          <w:u w:val="single"/>
        </w:rPr>
        <w:t xml:space="preserve"> w </w:t>
      </w:r>
      <w:proofErr w:type="spellStart"/>
      <w:r>
        <w:rPr>
          <w:b/>
          <w:bCs/>
          <w:u w:val="single"/>
        </w:rPr>
        <w:t>pieniądzu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najpóźniej</w:t>
      </w:r>
      <w:proofErr w:type="spellEnd"/>
      <w:r>
        <w:rPr>
          <w:b/>
          <w:bCs/>
          <w:u w:val="single"/>
        </w:rPr>
        <w:t xml:space="preserve"> na </w:t>
      </w:r>
      <w:proofErr w:type="spellStart"/>
      <w:r>
        <w:rPr>
          <w:b/>
          <w:bCs/>
          <w:u w:val="single"/>
        </w:rPr>
        <w:t>siedem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dni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przed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lastRenderedPageBreak/>
        <w:t>terminem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otwarcia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przetargu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tj</w:t>
      </w:r>
      <w:proofErr w:type="spellEnd"/>
      <w:r>
        <w:rPr>
          <w:b/>
          <w:bCs/>
          <w:u w:val="single"/>
        </w:rPr>
        <w:t xml:space="preserve">. do </w:t>
      </w:r>
      <w:proofErr w:type="spellStart"/>
      <w:r>
        <w:rPr>
          <w:b/>
          <w:bCs/>
          <w:u w:val="single"/>
        </w:rPr>
        <w:t>dnia</w:t>
      </w:r>
      <w:proofErr w:type="spellEnd"/>
      <w:r>
        <w:rPr>
          <w:b/>
          <w:bCs/>
          <w:u w:val="single"/>
        </w:rPr>
        <w:t xml:space="preserve"> 6 </w:t>
      </w:r>
      <w:proofErr w:type="spellStart"/>
      <w:r>
        <w:rPr>
          <w:b/>
          <w:bCs/>
          <w:u w:val="single"/>
        </w:rPr>
        <w:t>sierpnia</w:t>
      </w:r>
      <w:proofErr w:type="spellEnd"/>
      <w:r>
        <w:rPr>
          <w:b/>
          <w:bCs/>
          <w:u w:val="single"/>
        </w:rPr>
        <w:t xml:space="preserve"> 2018r. </w:t>
      </w:r>
      <w:r>
        <w:t xml:space="preserve"> Wadium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wpłacić</w:t>
      </w:r>
      <w:proofErr w:type="spellEnd"/>
      <w:r>
        <w:t xml:space="preserve"> w </w:t>
      </w:r>
      <w:proofErr w:type="spellStart"/>
      <w:r>
        <w:t>kasie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w </w:t>
      </w:r>
      <w:proofErr w:type="spellStart"/>
      <w:r>
        <w:t>godz</w:t>
      </w:r>
      <w:proofErr w:type="spellEnd"/>
      <w:r>
        <w:t xml:space="preserve">.: </w:t>
      </w:r>
      <w:proofErr w:type="spellStart"/>
      <w:r>
        <w:t>pn</w:t>
      </w:r>
      <w:proofErr w:type="spellEnd"/>
      <w:r>
        <w:t xml:space="preserve"> 7.30-16.00, </w:t>
      </w:r>
      <w:proofErr w:type="spellStart"/>
      <w:r>
        <w:t>wt</w:t>
      </w:r>
      <w:proofErr w:type="spellEnd"/>
      <w:r>
        <w:t>.-</w:t>
      </w:r>
      <w:proofErr w:type="spellStart"/>
      <w:r>
        <w:t>czw</w:t>
      </w:r>
      <w:proofErr w:type="spellEnd"/>
      <w:r>
        <w:t xml:space="preserve">. 7.30-15.00, </w:t>
      </w:r>
      <w:proofErr w:type="spellStart"/>
      <w:r>
        <w:t>pt</w:t>
      </w:r>
      <w:proofErr w:type="spellEnd"/>
      <w:r>
        <w:t xml:space="preserve">. 7.30-14.00  </w:t>
      </w:r>
      <w:proofErr w:type="spellStart"/>
      <w:r>
        <w:t>lub</w:t>
      </w:r>
      <w:proofErr w:type="spellEnd"/>
      <w:r>
        <w:t xml:space="preserve"> na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depozytowe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Witnica</w:t>
      </w:r>
      <w:proofErr w:type="spellEnd"/>
      <w:r>
        <w:t xml:space="preserve"> GBS </w:t>
      </w:r>
      <w:proofErr w:type="spellStart"/>
      <w:r>
        <w:t>Barlinek</w:t>
      </w:r>
      <w:proofErr w:type="spellEnd"/>
      <w:r>
        <w:t xml:space="preserve"> O </w:t>
      </w:r>
      <w:proofErr w:type="spellStart"/>
      <w:r>
        <w:t>Witnica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62 8355 0009  0114 4848 2000 0004.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przelewu</w:t>
      </w:r>
      <w:proofErr w:type="spellEnd"/>
      <w:r>
        <w:t xml:space="preserve"> -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wadium</w:t>
      </w:r>
      <w:proofErr w:type="spellEnd"/>
      <w:r>
        <w:t xml:space="preserve"> </w:t>
      </w:r>
      <w:proofErr w:type="spellStart"/>
      <w:r>
        <w:t>uznaje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</w:t>
      </w:r>
      <w:proofErr w:type="spellStart"/>
      <w:r>
        <w:t>wpływu</w:t>
      </w:r>
      <w:proofErr w:type="spellEnd"/>
      <w:r>
        <w:t xml:space="preserve"> na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przelewu</w:t>
      </w:r>
      <w:proofErr w:type="spellEnd"/>
      <w:r>
        <w:t xml:space="preserve"> -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udokumentowaniu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.    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postąpienie</w:t>
      </w:r>
      <w:proofErr w:type="spellEnd"/>
      <w:r>
        <w:t xml:space="preserve">  w </w:t>
      </w:r>
      <w:proofErr w:type="spellStart"/>
      <w:r>
        <w:t>licytacji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wynosić</w:t>
      </w:r>
      <w:proofErr w:type="spellEnd"/>
      <w:r>
        <w:t xml:space="preserve"> </w:t>
      </w:r>
      <w:proofErr w:type="spellStart"/>
      <w:r>
        <w:t>mniej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1%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wywoławczej</w:t>
      </w:r>
      <w:proofErr w:type="spellEnd"/>
      <w:r>
        <w:t xml:space="preserve"> z </w:t>
      </w:r>
      <w:proofErr w:type="spellStart"/>
      <w:r>
        <w:t>zaokrągleniem</w:t>
      </w:r>
      <w:proofErr w:type="spellEnd"/>
      <w:r>
        <w:t xml:space="preserve"> w </w:t>
      </w:r>
      <w:proofErr w:type="spellStart"/>
      <w:r>
        <w:t>górę</w:t>
      </w:r>
      <w:proofErr w:type="spellEnd"/>
      <w:r>
        <w:t xml:space="preserve"> do </w:t>
      </w:r>
      <w:proofErr w:type="spellStart"/>
      <w:r>
        <w:t>pełnych</w:t>
      </w:r>
      <w:proofErr w:type="spellEnd"/>
      <w:r>
        <w:t xml:space="preserve"> </w:t>
      </w:r>
      <w:proofErr w:type="spellStart"/>
      <w:r>
        <w:t>dziesiątek</w:t>
      </w:r>
      <w:proofErr w:type="spellEnd"/>
      <w:r>
        <w:t xml:space="preserve">  </w:t>
      </w:r>
      <w:proofErr w:type="spellStart"/>
      <w:r>
        <w:t>złotych</w:t>
      </w:r>
      <w:proofErr w:type="spellEnd"/>
      <w:r>
        <w:t xml:space="preserve">. </w:t>
      </w:r>
      <w:proofErr w:type="spellStart"/>
      <w:r>
        <w:t>Uczestnicy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 </w:t>
      </w:r>
      <w:proofErr w:type="spellStart"/>
      <w:r>
        <w:t>zobowiązani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do </w:t>
      </w:r>
      <w:proofErr w:type="spellStart"/>
      <w:r>
        <w:t>przedłożenia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przetargowej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otwarciem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: </w:t>
      </w:r>
      <w:proofErr w:type="spellStart"/>
      <w:r>
        <w:t>dowodu</w:t>
      </w:r>
      <w:proofErr w:type="spellEnd"/>
      <w:r>
        <w:t xml:space="preserve"> </w:t>
      </w:r>
      <w:proofErr w:type="spellStart"/>
      <w:r>
        <w:t>tożsamości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pełnomocnictwa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ich </w:t>
      </w:r>
      <w:proofErr w:type="spellStart"/>
      <w:r>
        <w:t>reprezentujących</w:t>
      </w:r>
      <w:proofErr w:type="spellEnd"/>
      <w:r>
        <w:t xml:space="preserve">, a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- </w:t>
      </w:r>
      <w:proofErr w:type="spellStart"/>
      <w:r>
        <w:t>wypisu</w:t>
      </w:r>
      <w:proofErr w:type="spellEnd"/>
      <w:r>
        <w:t xml:space="preserve"> z KRS. </w:t>
      </w:r>
      <w:proofErr w:type="spellStart"/>
      <w:r>
        <w:t>Nabycie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cudzoziemca</w:t>
      </w:r>
      <w:proofErr w:type="spellEnd"/>
      <w:r>
        <w:t xml:space="preserve"> </w:t>
      </w:r>
      <w:proofErr w:type="spellStart"/>
      <w:r>
        <w:t>następuje</w:t>
      </w:r>
      <w:proofErr w:type="spellEnd"/>
      <w:r>
        <w:t xml:space="preserve">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marca</w:t>
      </w:r>
      <w:proofErr w:type="spellEnd"/>
      <w:r>
        <w:t xml:space="preserve"> 1920r. o </w:t>
      </w:r>
      <w:proofErr w:type="spellStart"/>
      <w:r>
        <w:t>nabywaniu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cudzoziemców</w:t>
      </w:r>
      <w:proofErr w:type="spellEnd"/>
      <w:r>
        <w:t xml:space="preserve">. </w:t>
      </w:r>
      <w:proofErr w:type="spellStart"/>
      <w:r>
        <w:t>Uczestnikowi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wygrał</w:t>
      </w:r>
      <w:proofErr w:type="spellEnd"/>
      <w:r>
        <w:t xml:space="preserve"> </w:t>
      </w:r>
      <w:proofErr w:type="spellStart"/>
      <w:r>
        <w:t>przetarg</w:t>
      </w:r>
      <w:proofErr w:type="spellEnd"/>
      <w:r>
        <w:t xml:space="preserve">  </w:t>
      </w:r>
      <w:proofErr w:type="spellStart"/>
      <w:r>
        <w:t>wadium</w:t>
      </w:r>
      <w:proofErr w:type="spellEnd"/>
      <w:r>
        <w:t xml:space="preserve"> </w:t>
      </w:r>
      <w:proofErr w:type="spellStart"/>
      <w:r>
        <w:t>zalicza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poczet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nabycia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pozostałym</w:t>
      </w:r>
      <w:proofErr w:type="spellEnd"/>
      <w:r>
        <w:t xml:space="preserve"> </w:t>
      </w:r>
      <w:proofErr w:type="spellStart"/>
      <w:r>
        <w:t>uczestnikom</w:t>
      </w:r>
      <w:proofErr w:type="spellEnd"/>
      <w:r>
        <w:t xml:space="preserve"> </w:t>
      </w:r>
      <w:proofErr w:type="spellStart"/>
      <w:r>
        <w:t>zwraca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odwołaniu</w:t>
      </w:r>
      <w:proofErr w:type="spellEnd"/>
      <w:r>
        <w:t xml:space="preserve">, </w:t>
      </w:r>
      <w:proofErr w:type="spellStart"/>
      <w:r>
        <w:t>zamknięciu</w:t>
      </w:r>
      <w:proofErr w:type="spellEnd"/>
      <w:r>
        <w:t xml:space="preserve">, </w:t>
      </w:r>
      <w:proofErr w:type="spellStart"/>
      <w:r>
        <w:t>unieważnieniu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 </w:t>
      </w:r>
      <w:proofErr w:type="spellStart"/>
      <w:r>
        <w:t>wynikiem</w:t>
      </w:r>
      <w:proofErr w:type="spellEnd"/>
      <w:r>
        <w:t xml:space="preserve"> </w:t>
      </w:r>
      <w:proofErr w:type="spellStart"/>
      <w:r>
        <w:t>negatywnym</w:t>
      </w:r>
      <w:proofErr w:type="spellEnd"/>
      <w:r>
        <w:t xml:space="preserve">.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wyłoniona</w:t>
      </w:r>
      <w:proofErr w:type="spellEnd"/>
      <w:r>
        <w:t xml:space="preserve"> w </w:t>
      </w:r>
      <w:proofErr w:type="spellStart"/>
      <w:r>
        <w:t>przetargu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nabywca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zobowiązana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zapłacić</w:t>
      </w:r>
      <w:proofErr w:type="spellEnd"/>
      <w:r>
        <w:t xml:space="preserve">,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zawarciem</w:t>
      </w:r>
      <w:proofErr w:type="spellEnd"/>
      <w:r>
        <w:t xml:space="preserve"> </w:t>
      </w:r>
      <w:proofErr w:type="spellStart"/>
      <w:r>
        <w:t>notarialnej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sprzedaży</w:t>
      </w:r>
      <w:proofErr w:type="spellEnd"/>
      <w:r>
        <w:t xml:space="preserve">, </w:t>
      </w:r>
      <w:proofErr w:type="spellStart"/>
      <w:r>
        <w:t>cenę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wylicytowaną</w:t>
      </w:r>
      <w:proofErr w:type="spellEnd"/>
      <w:r>
        <w:t xml:space="preserve"> w </w:t>
      </w:r>
      <w:proofErr w:type="spellStart"/>
      <w:r>
        <w:t>przetargu.Sprzedaż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zwolniona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z </w:t>
      </w:r>
      <w:proofErr w:type="spellStart"/>
      <w:r>
        <w:t>podatku</w:t>
      </w:r>
      <w:proofErr w:type="spellEnd"/>
      <w:r>
        <w:t xml:space="preserve"> VAT na </w:t>
      </w:r>
      <w:proofErr w:type="spellStart"/>
      <w:r>
        <w:t>podstawie</w:t>
      </w:r>
      <w:proofErr w:type="spellEnd"/>
      <w:r>
        <w:t xml:space="preserve"> art. 43 ust.1 </w:t>
      </w:r>
      <w:proofErr w:type="spellStart"/>
      <w:r>
        <w:t>pkt</w:t>
      </w:r>
      <w:proofErr w:type="spellEnd"/>
      <w:r>
        <w:t xml:space="preserve"> 9 w </w:t>
      </w:r>
      <w:proofErr w:type="spellStart"/>
      <w:r>
        <w:t>związku</w:t>
      </w:r>
      <w:proofErr w:type="spellEnd"/>
      <w:r>
        <w:t xml:space="preserve"> z art. 2 </w:t>
      </w:r>
      <w:proofErr w:type="spellStart"/>
      <w:r>
        <w:t>pkt</w:t>
      </w:r>
      <w:proofErr w:type="spellEnd"/>
      <w:r>
        <w:t xml:space="preserve"> 33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11 </w:t>
      </w:r>
      <w:proofErr w:type="spellStart"/>
      <w:r>
        <w:t>marca</w:t>
      </w:r>
      <w:proofErr w:type="spellEnd"/>
      <w:r>
        <w:t xml:space="preserve"> 2004r. o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i </w:t>
      </w:r>
      <w:proofErr w:type="spellStart"/>
      <w:r>
        <w:t>usług</w:t>
      </w:r>
      <w:proofErr w:type="spellEnd"/>
      <w:r>
        <w:t xml:space="preserve"> (</w:t>
      </w:r>
      <w:r>
        <w:rPr>
          <w:rFonts w:eastAsia="Times New Roman" w:cs="Times New Roman"/>
          <w:lang w:val="pl-PL" w:bidi="ar-SA"/>
        </w:rPr>
        <w:t>tekst jednolity Dz. U. z 2017r., poz. 1221 z późniejszymi zmianami).</w:t>
      </w:r>
    </w:p>
    <w:p w:rsidR="00A94489" w:rsidRDefault="00A94489" w:rsidP="00A94489">
      <w:pPr>
        <w:jc w:val="both"/>
      </w:pPr>
      <w:r>
        <w:t xml:space="preserve">O </w:t>
      </w:r>
      <w:proofErr w:type="spellStart"/>
      <w:r>
        <w:t>miejscu</w:t>
      </w:r>
      <w:proofErr w:type="spellEnd"/>
      <w:r>
        <w:t xml:space="preserve"> i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zawierania</w:t>
      </w:r>
      <w:proofErr w:type="spellEnd"/>
      <w:r>
        <w:t xml:space="preserve"> </w:t>
      </w:r>
      <w:proofErr w:type="spellStart"/>
      <w:r>
        <w:t>notarialnej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sprzedaży</w:t>
      </w:r>
      <w:proofErr w:type="spellEnd"/>
      <w:r>
        <w:t xml:space="preserve"> </w:t>
      </w:r>
      <w:proofErr w:type="spellStart"/>
      <w:r>
        <w:t>zawiadomi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ustaloną</w:t>
      </w:r>
      <w:proofErr w:type="spellEnd"/>
      <w:r>
        <w:t xml:space="preserve"> </w:t>
      </w:r>
      <w:proofErr w:type="spellStart"/>
      <w:r>
        <w:t>nabywcą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– </w:t>
      </w:r>
      <w:proofErr w:type="spellStart"/>
      <w:r>
        <w:t>organizator</w:t>
      </w:r>
      <w:proofErr w:type="spellEnd"/>
      <w:r>
        <w:t xml:space="preserve">                    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, </w:t>
      </w:r>
      <w:proofErr w:type="spellStart"/>
      <w:r>
        <w:t>najpóźniej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21 </w:t>
      </w:r>
      <w:proofErr w:type="spellStart"/>
      <w:r>
        <w:t>dni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. </w:t>
      </w:r>
      <w:proofErr w:type="spellStart"/>
      <w:r>
        <w:t>Wyznaczony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sprzedaży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krótszy</w:t>
      </w:r>
      <w:proofErr w:type="spellEnd"/>
      <w:r>
        <w:t xml:space="preserve">, </w:t>
      </w:r>
      <w:proofErr w:type="spellStart"/>
      <w:r>
        <w:t>niż</w:t>
      </w:r>
      <w:proofErr w:type="spellEnd"/>
      <w:r>
        <w:t xml:space="preserve"> 7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doręczenia</w:t>
      </w:r>
      <w:proofErr w:type="spellEnd"/>
      <w:r>
        <w:t xml:space="preserve"> </w:t>
      </w:r>
      <w:proofErr w:type="spellStart"/>
      <w:r>
        <w:t>zawiadomienia</w:t>
      </w:r>
      <w:proofErr w:type="spellEnd"/>
      <w:r>
        <w:t xml:space="preserve">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ustalona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nabywca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nie </w:t>
      </w:r>
      <w:proofErr w:type="spellStart"/>
      <w:r>
        <w:t>stawi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usprawiedliwienia</w:t>
      </w:r>
      <w:proofErr w:type="spellEnd"/>
      <w:r>
        <w:t xml:space="preserve"> w </w:t>
      </w:r>
      <w:proofErr w:type="spellStart"/>
      <w:r>
        <w:t>miejscu</w:t>
      </w:r>
      <w:proofErr w:type="spellEnd"/>
      <w:r>
        <w:t xml:space="preserve"> i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podanym</w:t>
      </w:r>
      <w:proofErr w:type="spellEnd"/>
      <w:r>
        <w:t xml:space="preserve"> w </w:t>
      </w:r>
      <w:proofErr w:type="spellStart"/>
      <w:r>
        <w:t>zawiadomieniu</w:t>
      </w:r>
      <w:proofErr w:type="spellEnd"/>
      <w:r>
        <w:t xml:space="preserve">,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a </w:t>
      </w:r>
      <w:proofErr w:type="spellStart"/>
      <w:r>
        <w:t>wpłacone</w:t>
      </w:r>
      <w:proofErr w:type="spellEnd"/>
      <w:r>
        <w:t xml:space="preserve"> </w:t>
      </w:r>
      <w:proofErr w:type="spellStart"/>
      <w:r>
        <w:t>wadium</w:t>
      </w:r>
      <w:proofErr w:type="spellEnd"/>
      <w:r>
        <w:t xml:space="preserve"> nie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>.</w:t>
      </w:r>
    </w:p>
    <w:p w:rsidR="00A94489" w:rsidRDefault="00A94489" w:rsidP="00A94489">
      <w:pPr>
        <w:pStyle w:val="Standard"/>
        <w:jc w:val="both"/>
      </w:pPr>
      <w:proofErr w:type="spellStart"/>
      <w:r>
        <w:t>Ogłoszenie</w:t>
      </w:r>
      <w:proofErr w:type="spellEnd"/>
      <w:r>
        <w:t xml:space="preserve"> o </w:t>
      </w:r>
      <w:proofErr w:type="spellStart"/>
      <w:r>
        <w:t>przetargu</w:t>
      </w:r>
      <w:proofErr w:type="spellEnd"/>
      <w:r>
        <w:t xml:space="preserve"> </w:t>
      </w:r>
      <w:proofErr w:type="spellStart"/>
      <w:r>
        <w:t>opublikowano</w:t>
      </w:r>
      <w:proofErr w:type="spellEnd"/>
      <w:r>
        <w:t xml:space="preserve"> na </w:t>
      </w:r>
      <w:proofErr w:type="spellStart"/>
      <w:r>
        <w:t>tablicy</w:t>
      </w:r>
      <w:proofErr w:type="spellEnd"/>
      <w:r>
        <w:t xml:space="preserve"> </w:t>
      </w:r>
      <w:proofErr w:type="spellStart"/>
      <w:r>
        <w:t>ogłoszeń</w:t>
      </w:r>
      <w:proofErr w:type="spellEnd"/>
      <w:r>
        <w:t xml:space="preserve"> w </w:t>
      </w:r>
      <w:proofErr w:type="spellStart"/>
      <w:r>
        <w:t>siedzibie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, w </w:t>
      </w:r>
      <w:proofErr w:type="spellStart"/>
      <w:r>
        <w:t>Biuletynie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: </w:t>
      </w:r>
      <w:hyperlink r:id="rId4" w:history="1">
        <w:r>
          <w:t>www.bip.wrota.lubuskie.pl/ugwitnica</w:t>
        </w:r>
      </w:hyperlink>
      <w:r>
        <w:t xml:space="preserve"> -  w </w:t>
      </w:r>
      <w:proofErr w:type="spellStart"/>
      <w:r>
        <w:t>zakładce</w:t>
      </w:r>
      <w:proofErr w:type="spellEnd"/>
      <w:r>
        <w:t xml:space="preserve"> </w:t>
      </w:r>
      <w:proofErr w:type="spellStart"/>
      <w:r>
        <w:t>przetargi</w:t>
      </w:r>
      <w:proofErr w:type="spellEnd"/>
      <w:r>
        <w:rPr>
          <w:rFonts w:eastAsia="Times New Roman" w:cs="Times New Roman"/>
          <w:lang w:val="pl-PL" w:bidi="ar-SA"/>
        </w:rPr>
        <w:t>.</w:t>
      </w:r>
    </w:p>
    <w:p w:rsidR="00A94489" w:rsidRDefault="00A94489" w:rsidP="00A94489">
      <w:pPr>
        <w:jc w:val="both"/>
      </w:pPr>
      <w:proofErr w:type="spellStart"/>
      <w:r>
        <w:t>Przetarg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odwołany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z </w:t>
      </w:r>
      <w:proofErr w:type="spellStart"/>
      <w:r>
        <w:t>ważnych</w:t>
      </w:r>
      <w:proofErr w:type="spellEnd"/>
      <w:r>
        <w:t xml:space="preserve"> </w:t>
      </w:r>
      <w:proofErr w:type="spellStart"/>
      <w:r>
        <w:t>powodów</w:t>
      </w:r>
      <w:proofErr w:type="spellEnd"/>
      <w:r>
        <w:t>.</w:t>
      </w:r>
    </w:p>
    <w:p w:rsidR="00A94489" w:rsidRDefault="00A94489" w:rsidP="00A94489">
      <w:pPr>
        <w:jc w:val="both"/>
      </w:pPr>
      <w:proofErr w:type="spellStart"/>
      <w:r>
        <w:t>Nieruchomość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wolna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obciążeń</w:t>
      </w:r>
      <w:proofErr w:type="spellEnd"/>
      <w:r>
        <w:t xml:space="preserve"> i nie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zobowiązań</w:t>
      </w:r>
      <w:proofErr w:type="spellEnd"/>
      <w:r>
        <w:t>.</w:t>
      </w:r>
    </w:p>
    <w:p w:rsidR="00A94489" w:rsidRDefault="00A94489" w:rsidP="00A94489">
      <w:pPr>
        <w:pStyle w:val="Standard"/>
        <w:keepNext/>
        <w:tabs>
          <w:tab w:val="left" w:pos="7500"/>
        </w:tabs>
        <w:ind w:right="975"/>
        <w:jc w:val="both"/>
        <w:rPr>
          <w:color w:val="000000"/>
          <w:lang w:val="pl-PL"/>
        </w:rPr>
      </w:pPr>
      <w:r>
        <w:rPr>
          <w:color w:val="000000"/>
          <w:lang w:val="pl-PL"/>
        </w:rPr>
        <w:t>Dodatkowe informacje można uzyskać w Wydziale Gospodarki Gruntami, Geodezji i Rolnictwa Urzędu Miasta i Gminy Witnica przy  ulicy Plac Andrzeja Zabłockiego 6 lub pod nr tel. 95 721 64 58, 95 721 64 61.</w:t>
      </w:r>
    </w:p>
    <w:p w:rsidR="00A94489" w:rsidRDefault="00A94489" w:rsidP="00A94489">
      <w:pPr>
        <w:pStyle w:val="Standard"/>
        <w:ind w:right="975"/>
        <w:jc w:val="both"/>
        <w:rPr>
          <w:color w:val="000000"/>
          <w:lang w:val="pl-PL"/>
        </w:rPr>
      </w:pPr>
    </w:p>
    <w:p w:rsidR="00A94489" w:rsidRDefault="00A94489" w:rsidP="00A94489">
      <w:pPr>
        <w:pStyle w:val="Standard"/>
        <w:ind w:right="975"/>
        <w:jc w:val="both"/>
        <w:rPr>
          <w:color w:val="000000"/>
          <w:lang w:val="pl-PL"/>
        </w:rPr>
      </w:pPr>
    </w:p>
    <w:p w:rsidR="00A94489" w:rsidRDefault="00A94489" w:rsidP="00A94489">
      <w:pPr>
        <w:pStyle w:val="Standard"/>
        <w:ind w:right="975"/>
        <w:jc w:val="both"/>
        <w:rPr>
          <w:color w:val="000000"/>
          <w:lang w:val="pl-PL"/>
        </w:rPr>
      </w:pPr>
    </w:p>
    <w:p w:rsidR="00D74D56" w:rsidRDefault="00D74D56"/>
    <w:sectPr w:rsidR="00D74D56" w:rsidSect="00A94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89"/>
    <w:rsid w:val="00373CBE"/>
    <w:rsid w:val="004C6619"/>
    <w:rsid w:val="00A94489"/>
    <w:rsid w:val="00D74D56"/>
    <w:rsid w:val="00D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1749-6770-454C-888B-41DA13B2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4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4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94489"/>
    <w:pPr>
      <w:spacing w:after="120"/>
    </w:pPr>
  </w:style>
  <w:style w:type="paragraph" w:customStyle="1" w:styleId="TableContents">
    <w:name w:val="Table Contents"/>
    <w:basedOn w:val="Standard"/>
    <w:rsid w:val="00A94489"/>
    <w:pPr>
      <w:suppressLineNumbers/>
    </w:pPr>
  </w:style>
  <w:style w:type="paragraph" w:styleId="Podtytu">
    <w:name w:val="Subtitle"/>
    <w:basedOn w:val="Standard"/>
    <w:next w:val="Textbody"/>
    <w:link w:val="PodtytuZnak"/>
    <w:rsid w:val="00A94489"/>
    <w:pPr>
      <w:ind w:right="-2"/>
      <w:jc w:val="center"/>
    </w:pPr>
    <w:rPr>
      <w:rFonts w:eastAsia="Times New Roman"/>
      <w:b/>
      <w:sz w:val="26"/>
    </w:rPr>
  </w:style>
  <w:style w:type="character" w:customStyle="1" w:styleId="PodtytuZnak">
    <w:name w:val="Podtytuł Znak"/>
    <w:basedOn w:val="Domylnaczcionkaakapitu"/>
    <w:link w:val="Podtytu"/>
    <w:rsid w:val="00A94489"/>
    <w:rPr>
      <w:rFonts w:ascii="Times New Roman" w:eastAsia="Times New Roman" w:hAnsi="Times New Roman" w:cs="Tahoma"/>
      <w:b/>
      <w:kern w:val="3"/>
      <w:sz w:val="26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4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8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wrota.lubuskie.pl/ugwit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Zakaszewska</dc:creator>
  <cp:keywords/>
  <dc:description/>
  <cp:lastModifiedBy>Dorota Zakaszewska</cp:lastModifiedBy>
  <cp:revision>1</cp:revision>
  <cp:lastPrinted>2018-07-10T10:25:00Z</cp:lastPrinted>
  <dcterms:created xsi:type="dcterms:W3CDTF">2018-07-10T08:27:00Z</dcterms:created>
  <dcterms:modified xsi:type="dcterms:W3CDTF">2018-07-11T06:31:00Z</dcterms:modified>
</cp:coreProperties>
</file>