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0" w:rsidRPr="00D70C84" w:rsidRDefault="00F81F00" w:rsidP="008C66B0">
      <w:pPr>
        <w:spacing w:after="0" w:line="240" w:lineRule="auto"/>
        <w:jc w:val="right"/>
        <w:rPr>
          <w:rFonts w:ascii="Cambria" w:hAnsi="Cambria" w:cs="Arial"/>
          <w:sz w:val="24"/>
          <w:szCs w:val="24"/>
        </w:rPr>
      </w:pPr>
      <w:r w:rsidRPr="00D70C84">
        <w:rPr>
          <w:rFonts w:ascii="Cambria" w:hAnsi="Cambria" w:cs="Arial"/>
          <w:sz w:val="24"/>
          <w:szCs w:val="24"/>
        </w:rPr>
        <w:t>Zielona Góra, dnia 14.05.2013 r.</w:t>
      </w:r>
    </w:p>
    <w:p w:rsidR="00F81F00" w:rsidRPr="00D70C84" w:rsidRDefault="00F81F00" w:rsidP="008C66B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70C84">
        <w:rPr>
          <w:rFonts w:ascii="Cambria" w:hAnsi="Cambria" w:cs="Arial"/>
          <w:sz w:val="24"/>
          <w:szCs w:val="24"/>
        </w:rPr>
        <w:t xml:space="preserve">Znak sprawy: </w:t>
      </w:r>
      <w:r w:rsidRPr="00D70C84">
        <w:rPr>
          <w:rFonts w:ascii="Cambria" w:hAnsi="Cambria" w:cs="Arial"/>
          <w:b/>
          <w:sz w:val="24"/>
          <w:szCs w:val="24"/>
        </w:rPr>
        <w:t>ZZP.271.11.2013</w:t>
      </w:r>
    </w:p>
    <w:p w:rsidR="00F81F00" w:rsidRPr="00D70C84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F81F00" w:rsidRPr="00A54D7A" w:rsidRDefault="00F81F00" w:rsidP="008C66B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A54D7A">
        <w:rPr>
          <w:rFonts w:ascii="Cambria" w:hAnsi="Cambria" w:cs="Arial"/>
          <w:b/>
          <w:sz w:val="28"/>
          <w:szCs w:val="28"/>
        </w:rPr>
        <w:t>ZAWIADOMIENIE Nr 1</w:t>
      </w:r>
    </w:p>
    <w:p w:rsidR="00A54D7A" w:rsidRPr="00A54D7A" w:rsidRDefault="00A54D7A" w:rsidP="00A54D7A">
      <w:pPr>
        <w:spacing w:after="0" w:line="240" w:lineRule="auto"/>
        <w:rPr>
          <w:rFonts w:ascii="Cambria" w:hAnsi="Cambria" w:cs="Arial"/>
          <w:b/>
          <w:sz w:val="8"/>
          <w:szCs w:val="8"/>
        </w:rPr>
      </w:pPr>
    </w:p>
    <w:p w:rsidR="00F81F00" w:rsidRDefault="00F81F00" w:rsidP="008C66B0">
      <w:pPr>
        <w:spacing w:after="0" w:line="240" w:lineRule="auto"/>
        <w:ind w:right="-1"/>
        <w:jc w:val="center"/>
        <w:rPr>
          <w:rFonts w:ascii="Cambria" w:hAnsi="Cambria" w:cs="Arial"/>
          <w:sz w:val="24"/>
          <w:szCs w:val="24"/>
          <w:lang w:val="de-DE"/>
        </w:rPr>
      </w:pPr>
      <w:r w:rsidRPr="00D70C84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7" w:history="1">
        <w:r w:rsidRPr="00D70C84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D70C84">
        <w:rPr>
          <w:rFonts w:ascii="Cambria" w:hAnsi="Cambria" w:cs="Arial"/>
          <w:sz w:val="24"/>
          <w:szCs w:val="24"/>
        </w:rPr>
        <w:t xml:space="preserve">  </w:t>
      </w:r>
      <w:r w:rsidRPr="00D70C84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D70C84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A54D7A" w:rsidRPr="00A54D7A" w:rsidRDefault="00A54D7A" w:rsidP="008C66B0">
      <w:pPr>
        <w:spacing w:after="0" w:line="240" w:lineRule="auto"/>
        <w:ind w:right="-1"/>
        <w:jc w:val="center"/>
        <w:rPr>
          <w:rFonts w:ascii="Cambria" w:hAnsi="Cambria" w:cs="Arial"/>
          <w:sz w:val="8"/>
          <w:szCs w:val="8"/>
        </w:rPr>
      </w:pPr>
    </w:p>
    <w:p w:rsidR="00F81F00" w:rsidRPr="00D70C84" w:rsidRDefault="00F81F00" w:rsidP="008C66B0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D70C84">
        <w:rPr>
          <w:rFonts w:ascii="Cambria" w:hAnsi="Cambria" w:cs="Arial"/>
          <w:sz w:val="24"/>
          <w:szCs w:val="24"/>
        </w:rPr>
        <w:t xml:space="preserve">Dotyczy: Postępowania o udzielenie zamówienia </w:t>
      </w:r>
      <w:r w:rsidR="001F435A" w:rsidRPr="00D70C84">
        <w:rPr>
          <w:rFonts w:ascii="Cambria" w:hAnsi="Cambria" w:cs="Arial"/>
          <w:sz w:val="24"/>
          <w:szCs w:val="24"/>
        </w:rPr>
        <w:t xml:space="preserve">publicznego na: </w:t>
      </w:r>
      <w:r w:rsidR="001F435A" w:rsidRPr="00D70C84">
        <w:rPr>
          <w:rFonts w:ascii="Cambria" w:hAnsi="Cambria" w:cs="Arial CE"/>
          <w:b/>
          <w:bCs/>
          <w:sz w:val="24"/>
          <w:szCs w:val="24"/>
        </w:rPr>
        <w:t>Rozwój Krajowego Systemu Ratowniczo-Gaśniczego w Gminie Zielona Góra (Etap II) oraz wsparcie systemu alarmowania i ostrzegania przed zagrożeniami</w:t>
      </w:r>
      <w:r w:rsidRPr="00D70C84">
        <w:rPr>
          <w:rFonts w:ascii="Cambria" w:hAnsi="Cambria" w:cs="Arial"/>
          <w:bCs/>
          <w:sz w:val="24"/>
          <w:szCs w:val="24"/>
        </w:rPr>
        <w:t>.</w:t>
      </w:r>
      <w:r w:rsidRPr="00D70C84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D70C84">
        <w:rPr>
          <w:rFonts w:ascii="Cambria" w:hAnsi="Cambria"/>
          <w:color w:val="000000"/>
          <w:sz w:val="24"/>
          <w:szCs w:val="24"/>
        </w:rPr>
        <w:t>Postępowanie opublikowano w Biu</w:t>
      </w:r>
      <w:r w:rsidR="001F435A" w:rsidRPr="00D70C84">
        <w:rPr>
          <w:rFonts w:ascii="Cambria" w:hAnsi="Cambria"/>
          <w:color w:val="000000"/>
          <w:sz w:val="24"/>
          <w:szCs w:val="24"/>
        </w:rPr>
        <w:t xml:space="preserve">letynie Zamówień Publicznych Nr </w:t>
      </w:r>
      <w:r w:rsidR="001F435A" w:rsidRPr="00D70C84">
        <w:rPr>
          <w:rFonts w:ascii="Cambria" w:hAnsi="Cambria" w:cs="Arial CE"/>
          <w:b/>
          <w:bCs/>
          <w:sz w:val="24"/>
          <w:szCs w:val="24"/>
        </w:rPr>
        <w:t>181676</w:t>
      </w:r>
      <w:r w:rsidRPr="00D70C84">
        <w:rPr>
          <w:rFonts w:ascii="Cambria" w:hAnsi="Cambria"/>
          <w:b/>
          <w:color w:val="000000"/>
          <w:sz w:val="24"/>
          <w:szCs w:val="24"/>
        </w:rPr>
        <w:t>–2013</w:t>
      </w:r>
      <w:r w:rsidRPr="00D70C84">
        <w:rPr>
          <w:rFonts w:ascii="Cambria" w:hAnsi="Cambria"/>
          <w:color w:val="000000"/>
          <w:sz w:val="24"/>
          <w:szCs w:val="24"/>
        </w:rPr>
        <w:t xml:space="preserve"> z dnia </w:t>
      </w:r>
      <w:r w:rsidR="001F435A" w:rsidRPr="00D70C84">
        <w:rPr>
          <w:rFonts w:ascii="Cambria" w:hAnsi="Cambria"/>
          <w:color w:val="000000"/>
          <w:sz w:val="24"/>
          <w:szCs w:val="24"/>
        </w:rPr>
        <w:t>08.05</w:t>
      </w:r>
      <w:r w:rsidRPr="00D70C84">
        <w:rPr>
          <w:rFonts w:ascii="Cambria" w:hAnsi="Cambria"/>
          <w:color w:val="000000"/>
          <w:sz w:val="24"/>
          <w:szCs w:val="24"/>
        </w:rPr>
        <w:t>.2013</w:t>
      </w:r>
      <w:r w:rsidR="001F435A" w:rsidRPr="00D70C84">
        <w:rPr>
          <w:rFonts w:ascii="Cambria" w:hAnsi="Cambria"/>
          <w:color w:val="000000"/>
          <w:sz w:val="24"/>
          <w:szCs w:val="24"/>
        </w:rPr>
        <w:t> </w:t>
      </w:r>
      <w:r w:rsidRPr="00D70C84">
        <w:rPr>
          <w:rFonts w:ascii="Cambria" w:hAnsi="Cambria"/>
          <w:color w:val="000000"/>
          <w:sz w:val="24"/>
          <w:szCs w:val="24"/>
        </w:rPr>
        <w:t>r.</w:t>
      </w:r>
    </w:p>
    <w:p w:rsidR="00F81F00" w:rsidRPr="00D70C84" w:rsidRDefault="00F81F00" w:rsidP="008C66B0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rPr>
          <w:rFonts w:ascii="Cambria" w:hAnsi="Cambria"/>
          <w:color w:val="000000"/>
          <w:sz w:val="24"/>
          <w:szCs w:val="24"/>
        </w:rPr>
      </w:pPr>
    </w:p>
    <w:p w:rsidR="00F81F00" w:rsidRPr="00D70C84" w:rsidRDefault="00A54D7A" w:rsidP="00A54D7A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W związku z zapytaniem Ofere</w:t>
      </w:r>
      <w:r w:rsidR="001F435A" w:rsidRPr="00D70C84">
        <w:rPr>
          <w:rFonts w:ascii="Cambria" w:hAnsi="Cambria"/>
          <w:color w:val="000000"/>
          <w:sz w:val="24"/>
          <w:szCs w:val="24"/>
        </w:rPr>
        <w:t>n</w:t>
      </w:r>
      <w:r>
        <w:rPr>
          <w:rFonts w:ascii="Cambria" w:hAnsi="Cambria"/>
          <w:color w:val="000000"/>
          <w:sz w:val="24"/>
          <w:szCs w:val="24"/>
        </w:rPr>
        <w:t xml:space="preserve">ta </w:t>
      </w:r>
      <w:r w:rsidR="001F435A" w:rsidRPr="00D70C84">
        <w:rPr>
          <w:rFonts w:ascii="Cambria" w:hAnsi="Cambria"/>
          <w:color w:val="000000"/>
          <w:sz w:val="24"/>
          <w:szCs w:val="24"/>
        </w:rPr>
        <w:t xml:space="preserve">dotyczącym </w:t>
      </w:r>
      <w:r w:rsidR="00F81F00" w:rsidRPr="00D70C84">
        <w:rPr>
          <w:rFonts w:ascii="Cambria" w:hAnsi="Cambria"/>
          <w:color w:val="000000"/>
          <w:sz w:val="24"/>
          <w:szCs w:val="24"/>
        </w:rPr>
        <w:t>realizacji zadania pn. „</w:t>
      </w:r>
      <w:r w:rsidR="001F435A" w:rsidRPr="00D70C84">
        <w:rPr>
          <w:rFonts w:ascii="Cambria" w:hAnsi="Cambria" w:cs="Arial CE"/>
          <w:b/>
          <w:bCs/>
          <w:sz w:val="24"/>
          <w:szCs w:val="24"/>
        </w:rPr>
        <w:t>Rozwój Krajowego Systemu Ratowniczo-Gaśniczego w Gminie Zielona Góra (Etap II) oraz wsparcie systemu alarmowania i ostrzegania przed zagrożeniami</w:t>
      </w:r>
      <w:r w:rsidR="00F81F00" w:rsidRPr="00D70C84">
        <w:rPr>
          <w:rFonts w:ascii="Cambria" w:hAnsi="Cambria"/>
          <w:color w:val="000000"/>
          <w:sz w:val="24"/>
          <w:szCs w:val="24"/>
        </w:rPr>
        <w:t>” przedkładam odpowiedzi na nw. zapytani</w:t>
      </w:r>
      <w:r w:rsidR="001F435A" w:rsidRPr="00D70C84">
        <w:rPr>
          <w:rFonts w:ascii="Cambria" w:hAnsi="Cambria"/>
          <w:color w:val="000000"/>
          <w:sz w:val="24"/>
          <w:szCs w:val="24"/>
        </w:rPr>
        <w:t>e</w:t>
      </w:r>
      <w:r w:rsidR="00F81F00" w:rsidRPr="00D70C84">
        <w:rPr>
          <w:rFonts w:ascii="Cambria" w:hAnsi="Cambria"/>
          <w:color w:val="000000"/>
          <w:sz w:val="24"/>
          <w:szCs w:val="24"/>
        </w:rPr>
        <w:t>:</w:t>
      </w:r>
    </w:p>
    <w:p w:rsidR="00F81F00" w:rsidRPr="00D70C84" w:rsidRDefault="001F435A" w:rsidP="008C66B0">
      <w:pPr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b/>
          <w:color w:val="000000"/>
          <w:sz w:val="24"/>
          <w:szCs w:val="24"/>
        </w:rPr>
        <w:t>Zapytanie</w:t>
      </w:r>
      <w:r w:rsidR="00F81F00" w:rsidRPr="00D70C84">
        <w:rPr>
          <w:rFonts w:ascii="Cambria" w:hAnsi="Cambria"/>
          <w:b/>
          <w:color w:val="000000"/>
          <w:sz w:val="24"/>
          <w:szCs w:val="24"/>
        </w:rPr>
        <w:t>:</w:t>
      </w:r>
      <w:r w:rsidRPr="00D70C84">
        <w:rPr>
          <w:rFonts w:ascii="Cambria" w:hAnsi="Cambria"/>
          <w:sz w:val="24"/>
          <w:szCs w:val="24"/>
        </w:rPr>
        <w:t xml:space="preserve"> </w:t>
      </w:r>
      <w:r w:rsidR="00F81F00" w:rsidRPr="00D70C84">
        <w:rPr>
          <w:rFonts w:ascii="Cambria" w:hAnsi="Cambria"/>
          <w:sz w:val="24"/>
          <w:szCs w:val="24"/>
        </w:rPr>
        <w:t>W zwią</w:t>
      </w:r>
      <w:r w:rsidR="00C32F09" w:rsidRPr="00D70C84">
        <w:rPr>
          <w:rFonts w:ascii="Cambria" w:hAnsi="Cambria"/>
          <w:sz w:val="24"/>
          <w:szCs w:val="24"/>
        </w:rPr>
        <w:t>zku z brakiem w SIWZ szczegółowego opisu minimalnych wymagań technicznych dla:</w:t>
      </w:r>
    </w:p>
    <w:p w:rsidR="00C32F09" w:rsidRPr="00D70C84" w:rsidRDefault="00C32F09" w:rsidP="00A37943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radiotelefonu stacji bazowej,</w:t>
      </w:r>
    </w:p>
    <w:p w:rsidR="00C32F09" w:rsidRPr="00D70C84" w:rsidRDefault="00C32F09" w:rsidP="008C66B0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komputera stacji bazowej,</w:t>
      </w:r>
    </w:p>
    <w:p w:rsidR="00C32F09" w:rsidRPr="00D70C84" w:rsidRDefault="00C32F09" w:rsidP="008C66B0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zasilacza stacji bazowej,</w:t>
      </w:r>
    </w:p>
    <w:p w:rsidR="00C32F09" w:rsidRPr="00D70C84" w:rsidRDefault="00C32F09" w:rsidP="00BF4514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w celu złożenia rzetelnej oferty prosimy o uszczegółowienie zapisów w SIWZ.</w:t>
      </w:r>
    </w:p>
    <w:p w:rsidR="008C66B0" w:rsidRPr="00D70C84" w:rsidRDefault="001F435A" w:rsidP="00A37943">
      <w:pPr>
        <w:suppressAutoHyphens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D70C84">
        <w:rPr>
          <w:rFonts w:ascii="Cambria" w:hAnsi="Cambria"/>
          <w:b/>
          <w:color w:val="000000"/>
          <w:sz w:val="24"/>
          <w:szCs w:val="24"/>
        </w:rPr>
        <w:t>Odpowiedź</w:t>
      </w:r>
      <w:r w:rsidR="00F81F00" w:rsidRPr="00D70C84">
        <w:rPr>
          <w:rFonts w:ascii="Cambria" w:hAnsi="Cambria"/>
          <w:b/>
          <w:color w:val="000000"/>
          <w:sz w:val="24"/>
          <w:szCs w:val="24"/>
        </w:rPr>
        <w:t xml:space="preserve">: </w:t>
      </w:r>
      <w:r w:rsidR="00C32F09" w:rsidRPr="00D70C84">
        <w:rPr>
          <w:rFonts w:ascii="Cambria" w:hAnsi="Cambria" w:cs="Calibri"/>
          <w:sz w:val="24"/>
          <w:szCs w:val="24"/>
        </w:rPr>
        <w:t>Zamaw</w:t>
      </w:r>
      <w:r w:rsidR="00A37943" w:rsidRPr="00D70C84">
        <w:rPr>
          <w:rFonts w:ascii="Cambria" w:hAnsi="Cambria" w:cs="Calibri"/>
          <w:sz w:val="24"/>
          <w:szCs w:val="24"/>
        </w:rPr>
        <w:t>iający podaje uszczegółowiony opis minimalnych wymagań technicznych:</w:t>
      </w:r>
    </w:p>
    <w:p w:rsidR="008C66B0" w:rsidRPr="00D70C84" w:rsidRDefault="008C66B0" w:rsidP="008A733A">
      <w:pPr>
        <w:pStyle w:val="Akapitzlist"/>
        <w:numPr>
          <w:ilvl w:val="0"/>
          <w:numId w:val="7"/>
        </w:numPr>
        <w:autoSpaceDE w:val="0"/>
        <w:spacing w:after="0" w:line="240" w:lineRule="auto"/>
        <w:ind w:left="426" w:hanging="426"/>
        <w:rPr>
          <w:rFonts w:ascii="Cambria" w:hAnsi="Cambria"/>
          <w:b/>
          <w:color w:val="000000"/>
          <w:sz w:val="24"/>
          <w:szCs w:val="24"/>
          <w:u w:val="single"/>
        </w:rPr>
      </w:pPr>
      <w:r w:rsidRPr="00D70C84">
        <w:rPr>
          <w:rFonts w:ascii="Cambria" w:hAnsi="Cambria"/>
          <w:b/>
          <w:color w:val="000000"/>
          <w:sz w:val="24"/>
          <w:szCs w:val="24"/>
          <w:u w:val="single"/>
        </w:rPr>
        <w:t>Minimalne wymagania techniczne dla radiotelefonu stacji bazowej</w:t>
      </w:r>
      <w:r w:rsidR="008A733A" w:rsidRPr="00D70C84">
        <w:rPr>
          <w:rFonts w:ascii="Cambria" w:hAnsi="Cambria"/>
          <w:b/>
          <w:color w:val="000000"/>
          <w:sz w:val="24"/>
          <w:szCs w:val="24"/>
          <w:u w:val="single"/>
        </w:rPr>
        <w:t>: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Moc Nadajnika 1- 25W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  <w:r w:rsidRPr="00D70C84">
        <w:rPr>
          <w:rFonts w:ascii="Cambria" w:eastAsia="MS PGothic" w:hAnsi="Cambria" w:cs="Arial"/>
          <w:bCs/>
          <w:sz w:val="24"/>
          <w:szCs w:val="24"/>
        </w:rPr>
        <w:t xml:space="preserve"> 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14 Znakowy Alfanumeryczny Wyświetlacz  LCD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Duża Ilość Kanałów (512 kanałów / 128 stref)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NXDN™ Cyfrowy Interfejs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AMBE+2™ VOCODER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6.25 &amp; 12.5 kHz Odstęp Międzykanałowy (tryb cyfrowy)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 xml:space="preserve">Praca w Trybie Cyfrowym Konwencjonalnym lub </w:t>
      </w:r>
      <w:proofErr w:type="spellStart"/>
      <w:r w:rsidRPr="00D70C84">
        <w:rPr>
          <w:rFonts w:ascii="Cambria" w:eastAsia="MS PGothic" w:hAnsi="Cambria" w:cs="Arial"/>
          <w:bCs/>
          <w:sz w:val="24"/>
          <w:szCs w:val="24"/>
        </w:rPr>
        <w:t>Trankingu</w:t>
      </w:r>
      <w:proofErr w:type="spellEnd"/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Praca w Trybie  Konwencjonalnym FM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 xml:space="preserve">Opcja </w:t>
      </w:r>
      <w:proofErr w:type="spellStart"/>
      <w:r w:rsidRPr="00D70C84">
        <w:rPr>
          <w:rFonts w:ascii="Cambria" w:eastAsia="MS PGothic" w:hAnsi="Cambria" w:cs="Arial"/>
          <w:bCs/>
          <w:sz w:val="24"/>
          <w:szCs w:val="24"/>
        </w:rPr>
        <w:t>trankingu</w:t>
      </w:r>
      <w:proofErr w:type="spellEnd"/>
      <w:r w:rsidRPr="00D70C84">
        <w:rPr>
          <w:rFonts w:ascii="Cambria" w:eastAsia="MS PGothic" w:hAnsi="Cambria" w:cs="Arial"/>
          <w:bCs/>
          <w:sz w:val="24"/>
          <w:szCs w:val="24"/>
        </w:rPr>
        <w:t xml:space="preserve"> MPT1327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 xml:space="preserve">LTR® </w:t>
      </w:r>
      <w:proofErr w:type="spellStart"/>
      <w:r w:rsidRPr="00D70C84">
        <w:rPr>
          <w:rFonts w:ascii="Cambria" w:eastAsia="MS PGothic" w:hAnsi="Cambria" w:cs="Arial"/>
          <w:bCs/>
          <w:sz w:val="24"/>
          <w:szCs w:val="24"/>
        </w:rPr>
        <w:t>Tranking</w:t>
      </w:r>
      <w:proofErr w:type="spellEnd"/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  <w:r w:rsidRPr="00D70C84">
        <w:rPr>
          <w:rFonts w:ascii="Cambria" w:eastAsia="MS PGothic" w:hAnsi="Cambria" w:cs="Arial"/>
          <w:bCs/>
          <w:sz w:val="24"/>
          <w:szCs w:val="24"/>
        </w:rPr>
        <w:t xml:space="preserve"> 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proofErr w:type="spellStart"/>
      <w:r w:rsidRPr="00D70C84">
        <w:rPr>
          <w:rFonts w:ascii="Cambria" w:eastAsia="MS PGothic" w:hAnsi="Cambria" w:cs="Arial"/>
          <w:bCs/>
          <w:sz w:val="24"/>
          <w:szCs w:val="24"/>
        </w:rPr>
        <w:t>FleetSync</w:t>
      </w:r>
      <w:proofErr w:type="spellEnd"/>
      <w:r w:rsidRPr="00D70C84">
        <w:rPr>
          <w:rFonts w:ascii="Cambria" w:eastAsia="MS PGothic" w:hAnsi="Cambria" w:cs="Arial"/>
          <w:bCs/>
          <w:sz w:val="24"/>
          <w:szCs w:val="24"/>
        </w:rPr>
        <w:t>® Kompatybilny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DTMF Koder / Dekoder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Wywołania Alarmowe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 xml:space="preserve">Port Rozszerzeń i </w:t>
      </w:r>
      <w:proofErr w:type="spellStart"/>
      <w:r w:rsidRPr="00D70C84">
        <w:rPr>
          <w:rFonts w:ascii="Cambria" w:eastAsia="MS PGothic" w:hAnsi="Cambria" w:cs="Arial"/>
          <w:bCs/>
          <w:sz w:val="24"/>
          <w:szCs w:val="24"/>
        </w:rPr>
        <w:t>Akcesorii</w:t>
      </w:r>
      <w:proofErr w:type="spellEnd"/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NXDN™ Cyfrowy Szyfrator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Dużo Opcji Skanowania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Cs/>
          <w:sz w:val="24"/>
          <w:szCs w:val="24"/>
        </w:rPr>
        <w:t>Wzmocniona Konstrukcja (MIL-STD 810 C/D/E/F i IP54/55)</w:t>
      </w:r>
      <w:r w:rsidR="008A733A" w:rsidRPr="00D70C84">
        <w:rPr>
          <w:rFonts w:ascii="Cambria" w:eastAsia="MS PGothic" w:hAnsi="Cambria" w:cs="Arial"/>
          <w:bCs/>
          <w:sz w:val="24"/>
          <w:szCs w:val="24"/>
        </w:rPr>
        <w:t>,</w:t>
      </w:r>
    </w:p>
    <w:p w:rsidR="00A43E3F" w:rsidRPr="00D70C84" w:rsidRDefault="00A43E3F" w:rsidP="008A733A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b/>
          <w:bCs/>
          <w:sz w:val="24"/>
          <w:szCs w:val="24"/>
        </w:rPr>
        <w:t>powinien spełniać Standardy Europejskie  ETSI Cyfrowe i Analogowe</w:t>
      </w:r>
      <w:r w:rsidR="008A733A" w:rsidRPr="00D70C84">
        <w:rPr>
          <w:rFonts w:ascii="Cambria" w:eastAsia="MS PGothic" w:hAnsi="Cambria" w:cs="Arial"/>
          <w:b/>
          <w:bCs/>
          <w:sz w:val="24"/>
          <w:szCs w:val="24"/>
        </w:rPr>
        <w:t>.</w:t>
      </w:r>
    </w:p>
    <w:p w:rsidR="00A43E3F" w:rsidRPr="00BF4514" w:rsidRDefault="00A43E3F" w:rsidP="00A43E3F">
      <w:pPr>
        <w:spacing w:after="0" w:line="240" w:lineRule="auto"/>
        <w:rPr>
          <w:rFonts w:ascii="Cambria" w:eastAsia="MS PGothic" w:hAnsi="Cambria" w:cs="Arial"/>
          <w:b/>
          <w:bCs/>
          <w:sz w:val="6"/>
          <w:szCs w:val="6"/>
        </w:rPr>
      </w:pPr>
    </w:p>
    <w:p w:rsidR="00A43E3F" w:rsidRPr="00D70C84" w:rsidRDefault="008A733A" w:rsidP="00A43E3F">
      <w:pPr>
        <w:spacing w:after="0" w:line="240" w:lineRule="auto"/>
        <w:rPr>
          <w:rFonts w:ascii="Cambria" w:eastAsia="MS PGothic" w:hAnsi="Cambria" w:cs="Arial"/>
          <w:b/>
          <w:bCs/>
          <w:sz w:val="24"/>
          <w:szCs w:val="24"/>
        </w:rPr>
      </w:pPr>
      <w:r w:rsidRPr="00D70C84">
        <w:rPr>
          <w:rFonts w:ascii="Cambria" w:eastAsia="MS PGothic" w:hAnsi="Cambria" w:cs="Arial"/>
          <w:b/>
          <w:bCs/>
          <w:sz w:val="24"/>
          <w:szCs w:val="24"/>
        </w:rPr>
        <w:t>Standard R&amp;TTE</w:t>
      </w:r>
      <w:r w:rsidR="00A43E3F" w:rsidRPr="00D70C84">
        <w:rPr>
          <w:rFonts w:ascii="Cambria" w:eastAsia="MS PGothic" w:hAnsi="Cambria" w:cs="Arial"/>
          <w:b/>
          <w:bCs/>
          <w:sz w:val="24"/>
          <w:szCs w:val="24"/>
        </w:rPr>
        <w:t>:</w:t>
      </w:r>
    </w:p>
    <w:p w:rsidR="00A43E3F" w:rsidRPr="00BF4514" w:rsidRDefault="00A43E3F" w:rsidP="00A43E3F">
      <w:pPr>
        <w:spacing w:after="0" w:line="240" w:lineRule="auto"/>
        <w:rPr>
          <w:rFonts w:ascii="Cambria" w:eastAsia="MS PGothic" w:hAnsi="Cambria" w:cs="Arial"/>
          <w:sz w:val="6"/>
          <w:szCs w:val="6"/>
        </w:rPr>
      </w:pPr>
    </w:p>
    <w:p w:rsidR="00A43E3F" w:rsidRPr="00D70C84" w:rsidRDefault="008A733A" w:rsidP="008A733A">
      <w:pPr>
        <w:spacing w:after="0" w:line="240" w:lineRule="auto"/>
        <w:rPr>
          <w:rFonts w:ascii="Cambria" w:eastAsia="MS PGothic" w:hAnsi="Cambria" w:cs="Arial"/>
          <w:sz w:val="24"/>
          <w:szCs w:val="24"/>
        </w:rPr>
      </w:pPr>
      <w:r w:rsidRPr="00D70C84">
        <w:rPr>
          <w:rFonts w:ascii="Cambria" w:eastAsia="MS PGothic" w:hAnsi="Cambria" w:cs="Arial"/>
          <w:sz w:val="24"/>
          <w:szCs w:val="24"/>
        </w:rPr>
        <w:t xml:space="preserve">EN 300 086, EN 300 113, </w:t>
      </w:r>
      <w:r w:rsidR="00A43E3F" w:rsidRPr="00D70C84">
        <w:rPr>
          <w:rFonts w:ascii="Cambria" w:eastAsia="MS PGothic" w:hAnsi="Cambria" w:cs="Arial"/>
          <w:sz w:val="24"/>
          <w:szCs w:val="24"/>
        </w:rPr>
        <w:t>EN 300 219, EN301 489, EN 301 166 (Głos i Dane dla Kanału Cyfrowego 6.25 kHz )</w:t>
      </w:r>
      <w:r w:rsidRPr="00D70C84">
        <w:rPr>
          <w:rFonts w:ascii="Cambria" w:eastAsia="MS PGothic" w:hAnsi="Cambria" w:cs="Arial"/>
          <w:sz w:val="24"/>
          <w:szCs w:val="24"/>
        </w:rPr>
        <w:t>.</w:t>
      </w:r>
    </w:p>
    <w:p w:rsidR="00A43E3F" w:rsidRPr="00BF4514" w:rsidRDefault="00A43E3F" w:rsidP="00A43E3F">
      <w:pPr>
        <w:spacing w:after="0" w:line="240" w:lineRule="auto"/>
        <w:rPr>
          <w:rFonts w:ascii="Cambria" w:eastAsia="MS PGothic" w:hAnsi="Cambria" w:cs="Arial"/>
          <w:b/>
          <w:bCs/>
          <w:sz w:val="6"/>
          <w:szCs w:val="6"/>
        </w:rPr>
      </w:pPr>
      <w:r w:rsidRPr="00D70C84">
        <w:rPr>
          <w:rFonts w:ascii="Cambria" w:eastAsia="MS PGothic" w:hAnsi="Cambria" w:cs="Arial"/>
          <w:b/>
          <w:bCs/>
          <w:sz w:val="24"/>
          <w:szCs w:val="24"/>
        </w:rPr>
        <w:t xml:space="preserve">          </w:t>
      </w:r>
    </w:p>
    <w:p w:rsidR="008C66B0" w:rsidRDefault="008A733A" w:rsidP="00A43E3F">
      <w:pPr>
        <w:autoSpaceDE w:val="0"/>
        <w:spacing w:after="0" w:line="240" w:lineRule="auto"/>
        <w:rPr>
          <w:rFonts w:ascii="Cambria" w:eastAsia="MS PGothic" w:hAnsi="Cambria" w:cs="Arial"/>
          <w:b/>
          <w:bCs/>
          <w:sz w:val="24"/>
          <w:szCs w:val="24"/>
        </w:rPr>
      </w:pPr>
      <w:r w:rsidRPr="00D70C84">
        <w:rPr>
          <w:rFonts w:ascii="Cambria" w:eastAsia="MS PGothic" w:hAnsi="Cambria" w:cs="Arial"/>
          <w:b/>
          <w:bCs/>
          <w:sz w:val="24"/>
          <w:szCs w:val="24"/>
        </w:rPr>
        <w:t>Normy Bezpieczeństwa</w:t>
      </w:r>
      <w:r w:rsidR="00A43E3F" w:rsidRPr="00D70C84">
        <w:rPr>
          <w:rFonts w:ascii="Cambria" w:eastAsia="MS PGothic" w:hAnsi="Cambria" w:cs="Arial"/>
          <w:b/>
          <w:bCs/>
          <w:sz w:val="24"/>
          <w:szCs w:val="24"/>
        </w:rPr>
        <w:t>:</w:t>
      </w:r>
    </w:p>
    <w:p w:rsidR="00BF4514" w:rsidRPr="00BF4514" w:rsidRDefault="00BF4514" w:rsidP="00A43E3F">
      <w:pPr>
        <w:autoSpaceDE w:val="0"/>
        <w:spacing w:after="0" w:line="240" w:lineRule="auto"/>
        <w:rPr>
          <w:rFonts w:ascii="Cambria" w:eastAsia="MS PGothic" w:hAnsi="Cambria" w:cs="Arial"/>
          <w:sz w:val="6"/>
          <w:szCs w:val="6"/>
        </w:rPr>
      </w:pPr>
    </w:p>
    <w:p w:rsidR="008C66B0" w:rsidRPr="00BF4514" w:rsidRDefault="008C66B0" w:rsidP="008C66B0">
      <w:pPr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70C84">
        <w:rPr>
          <w:rFonts w:ascii="Cambria" w:eastAsia="MS PGothic" w:hAnsi="Cambria" w:cs="Arial"/>
          <w:sz w:val="24"/>
          <w:szCs w:val="24"/>
        </w:rPr>
        <w:t>EN 60065, EN 60950-1, EN 60215</w:t>
      </w:r>
      <w:r w:rsidR="008A733A" w:rsidRPr="00D70C84">
        <w:rPr>
          <w:rFonts w:ascii="Cambria" w:eastAsia="MS PGothic" w:hAnsi="Cambria" w:cs="Arial"/>
          <w:sz w:val="24"/>
          <w:szCs w:val="24"/>
        </w:rPr>
        <w:t>.</w:t>
      </w:r>
    </w:p>
    <w:p w:rsidR="008C66B0" w:rsidRPr="00D70C84" w:rsidRDefault="008C66B0" w:rsidP="008A733A">
      <w:pPr>
        <w:pStyle w:val="Akapitzlist"/>
        <w:numPr>
          <w:ilvl w:val="0"/>
          <w:numId w:val="7"/>
        </w:numPr>
        <w:autoSpaceDE w:val="0"/>
        <w:spacing w:after="0" w:line="240" w:lineRule="auto"/>
        <w:ind w:left="426" w:hanging="426"/>
        <w:rPr>
          <w:rFonts w:ascii="Cambria" w:hAnsi="Cambria"/>
          <w:b/>
          <w:color w:val="000000"/>
          <w:sz w:val="24"/>
          <w:szCs w:val="24"/>
          <w:u w:val="single"/>
        </w:rPr>
      </w:pPr>
      <w:r w:rsidRPr="00D70C84">
        <w:rPr>
          <w:rFonts w:ascii="Cambria" w:hAnsi="Cambria"/>
          <w:b/>
          <w:color w:val="000000"/>
          <w:sz w:val="24"/>
          <w:szCs w:val="24"/>
          <w:u w:val="single"/>
        </w:rPr>
        <w:lastRenderedPageBreak/>
        <w:t>Minimalne wymagania techniczne dla komputera stacji bazowej klasy PC (laptopa)</w:t>
      </w:r>
      <w:r w:rsidR="008A733A" w:rsidRPr="00D70C84">
        <w:rPr>
          <w:rFonts w:ascii="Cambria" w:hAnsi="Cambria"/>
          <w:b/>
          <w:color w:val="000000"/>
          <w:sz w:val="24"/>
          <w:szCs w:val="24"/>
          <w:u w:val="single"/>
        </w:rPr>
        <w:t>:</w:t>
      </w:r>
    </w:p>
    <w:p w:rsidR="008C66B0" w:rsidRPr="00D70C84" w:rsidRDefault="008C66B0" w:rsidP="008A733A">
      <w:pPr>
        <w:numPr>
          <w:ilvl w:val="0"/>
          <w:numId w:val="2"/>
        </w:numPr>
        <w:autoSpaceDN w:val="0"/>
        <w:spacing w:after="0" w:line="240" w:lineRule="auto"/>
        <w:ind w:left="426" w:hanging="426"/>
        <w:textAlignment w:val="baseline"/>
        <w:rPr>
          <w:rFonts w:ascii="Cambria" w:hAnsi="Cambria"/>
          <w:color w:val="000000"/>
          <w:sz w:val="24"/>
          <w:szCs w:val="24"/>
        </w:rPr>
      </w:pPr>
      <w:r w:rsidRPr="00D70C84">
        <w:rPr>
          <w:rFonts w:ascii="Cambria" w:hAnsi="Cambria"/>
          <w:color w:val="000000"/>
          <w:sz w:val="24"/>
          <w:szCs w:val="24"/>
        </w:rPr>
        <w:t>Przekątna ekranu: 17,3 cala</w:t>
      </w:r>
      <w:r w:rsidR="008A733A" w:rsidRPr="00D70C84">
        <w:rPr>
          <w:rFonts w:ascii="Cambria" w:hAnsi="Cambria"/>
          <w:color w:val="000000"/>
          <w:sz w:val="24"/>
          <w:szCs w:val="24"/>
        </w:rPr>
        <w:t>,</w:t>
      </w:r>
      <w:r w:rsidRPr="00D70C84">
        <w:rPr>
          <w:rFonts w:ascii="Cambria" w:hAnsi="Cambria"/>
          <w:color w:val="000000"/>
          <w:sz w:val="24"/>
          <w:szCs w:val="24"/>
        </w:rPr>
        <w:t xml:space="preserve"> </w:t>
      </w:r>
    </w:p>
    <w:p w:rsidR="008C66B0" w:rsidRPr="00D70C84" w:rsidRDefault="008C66B0" w:rsidP="008A733A">
      <w:pPr>
        <w:numPr>
          <w:ilvl w:val="0"/>
          <w:numId w:val="2"/>
        </w:numPr>
        <w:autoSpaceDN w:val="0"/>
        <w:spacing w:after="0" w:line="240" w:lineRule="auto"/>
        <w:ind w:left="426" w:hanging="426"/>
        <w:textAlignment w:val="baseline"/>
        <w:rPr>
          <w:rFonts w:ascii="Cambria" w:hAnsi="Cambria"/>
          <w:color w:val="000000"/>
          <w:sz w:val="24"/>
          <w:szCs w:val="24"/>
          <w:lang w:val="en-US"/>
        </w:rPr>
      </w:pPr>
      <w:proofErr w:type="spellStart"/>
      <w:r w:rsidRPr="00D70C84">
        <w:rPr>
          <w:rFonts w:ascii="Cambria" w:hAnsi="Cambria"/>
          <w:color w:val="000000"/>
          <w:sz w:val="24"/>
          <w:szCs w:val="24"/>
          <w:lang w:val="en-US"/>
        </w:rPr>
        <w:t>Procesor</w:t>
      </w:r>
      <w:proofErr w:type="spellEnd"/>
      <w:r w:rsidRPr="00D70C84">
        <w:rPr>
          <w:rFonts w:ascii="Cambria" w:hAnsi="Cambria"/>
          <w:color w:val="000000"/>
          <w:sz w:val="24"/>
          <w:szCs w:val="24"/>
          <w:lang w:val="en-US"/>
        </w:rPr>
        <w:t>: Intel® Core™ i5 3gen 3210M 2,5 - 3,1 GHz</w:t>
      </w:r>
      <w:r w:rsidR="008A733A" w:rsidRPr="00D70C84">
        <w:rPr>
          <w:rFonts w:ascii="Cambria" w:hAnsi="Cambria"/>
          <w:color w:val="000000"/>
          <w:sz w:val="24"/>
          <w:szCs w:val="24"/>
          <w:lang w:val="en-US"/>
        </w:rPr>
        <w:t>,</w:t>
      </w:r>
      <w:r w:rsidRPr="00D70C84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</w:p>
    <w:p w:rsidR="008C66B0" w:rsidRPr="00D70C84" w:rsidRDefault="008C66B0" w:rsidP="008A733A">
      <w:pPr>
        <w:numPr>
          <w:ilvl w:val="0"/>
          <w:numId w:val="2"/>
        </w:numPr>
        <w:autoSpaceDN w:val="0"/>
        <w:spacing w:after="0" w:line="240" w:lineRule="auto"/>
        <w:ind w:left="426" w:hanging="426"/>
        <w:textAlignment w:val="baseline"/>
        <w:rPr>
          <w:rFonts w:ascii="Cambria" w:hAnsi="Cambria"/>
          <w:color w:val="000000"/>
          <w:sz w:val="24"/>
          <w:szCs w:val="24"/>
        </w:rPr>
      </w:pPr>
      <w:r w:rsidRPr="00D70C84">
        <w:rPr>
          <w:rFonts w:ascii="Cambria" w:hAnsi="Cambria"/>
          <w:color w:val="000000"/>
          <w:sz w:val="24"/>
          <w:szCs w:val="24"/>
        </w:rPr>
        <w:t>Pamięć RAM: 4 GB</w:t>
      </w:r>
      <w:r w:rsidR="008A733A" w:rsidRPr="00D70C84">
        <w:rPr>
          <w:rFonts w:ascii="Cambria" w:hAnsi="Cambria"/>
          <w:color w:val="000000"/>
          <w:sz w:val="24"/>
          <w:szCs w:val="24"/>
        </w:rPr>
        <w:t>,</w:t>
      </w:r>
      <w:r w:rsidRPr="00D70C84">
        <w:rPr>
          <w:rFonts w:ascii="Cambria" w:hAnsi="Cambria"/>
          <w:color w:val="000000"/>
          <w:sz w:val="24"/>
          <w:szCs w:val="24"/>
        </w:rPr>
        <w:t xml:space="preserve"> </w:t>
      </w:r>
    </w:p>
    <w:p w:rsidR="008C66B0" w:rsidRPr="00D70C84" w:rsidRDefault="008C66B0" w:rsidP="008A733A">
      <w:pPr>
        <w:numPr>
          <w:ilvl w:val="0"/>
          <w:numId w:val="2"/>
        </w:numPr>
        <w:autoSpaceDN w:val="0"/>
        <w:spacing w:after="0" w:line="240" w:lineRule="auto"/>
        <w:ind w:left="426" w:hanging="426"/>
        <w:textAlignment w:val="baseline"/>
        <w:rPr>
          <w:rFonts w:ascii="Cambria" w:hAnsi="Cambria"/>
          <w:color w:val="000000"/>
          <w:sz w:val="24"/>
          <w:szCs w:val="24"/>
        </w:rPr>
      </w:pPr>
      <w:r w:rsidRPr="00D70C84">
        <w:rPr>
          <w:rFonts w:ascii="Cambria" w:hAnsi="Cambria"/>
          <w:color w:val="000000"/>
          <w:sz w:val="24"/>
          <w:szCs w:val="24"/>
        </w:rPr>
        <w:t>Pojemność dysku: 500 GB</w:t>
      </w:r>
      <w:r w:rsidR="008A733A" w:rsidRPr="00D70C84">
        <w:rPr>
          <w:rFonts w:ascii="Cambria" w:hAnsi="Cambria"/>
          <w:color w:val="000000"/>
          <w:sz w:val="24"/>
          <w:szCs w:val="24"/>
        </w:rPr>
        <w:t>,</w:t>
      </w:r>
      <w:r w:rsidRPr="00D70C84">
        <w:rPr>
          <w:rFonts w:ascii="Cambria" w:hAnsi="Cambria"/>
          <w:color w:val="000000"/>
          <w:sz w:val="24"/>
          <w:szCs w:val="24"/>
        </w:rPr>
        <w:t xml:space="preserve"> </w:t>
      </w:r>
    </w:p>
    <w:p w:rsidR="008C66B0" w:rsidRPr="00D70C84" w:rsidRDefault="008C66B0" w:rsidP="008A733A">
      <w:pPr>
        <w:numPr>
          <w:ilvl w:val="0"/>
          <w:numId w:val="2"/>
        </w:numPr>
        <w:autoSpaceDN w:val="0"/>
        <w:spacing w:after="0" w:line="240" w:lineRule="auto"/>
        <w:ind w:left="426" w:hanging="426"/>
        <w:textAlignment w:val="baseline"/>
        <w:rPr>
          <w:rFonts w:ascii="Cambria" w:hAnsi="Cambria"/>
          <w:color w:val="000000"/>
          <w:sz w:val="24"/>
          <w:szCs w:val="24"/>
        </w:rPr>
      </w:pPr>
      <w:r w:rsidRPr="00D70C84">
        <w:rPr>
          <w:rFonts w:ascii="Cambria" w:hAnsi="Cambria"/>
          <w:color w:val="000000"/>
          <w:sz w:val="24"/>
          <w:szCs w:val="24"/>
        </w:rPr>
        <w:t xml:space="preserve">Grafika: AMD® </w:t>
      </w:r>
      <w:proofErr w:type="spellStart"/>
      <w:r w:rsidRPr="00D70C84">
        <w:rPr>
          <w:rFonts w:ascii="Cambria" w:hAnsi="Cambria"/>
          <w:color w:val="000000"/>
          <w:sz w:val="24"/>
          <w:szCs w:val="24"/>
        </w:rPr>
        <w:t>Radeon</w:t>
      </w:r>
      <w:proofErr w:type="spellEnd"/>
      <w:r w:rsidRPr="00D70C84">
        <w:rPr>
          <w:rFonts w:ascii="Cambria" w:hAnsi="Cambria"/>
          <w:color w:val="000000"/>
          <w:sz w:val="24"/>
          <w:szCs w:val="24"/>
        </w:rPr>
        <w:t xml:space="preserve"> HD 7650M</w:t>
      </w:r>
      <w:r w:rsidR="008A733A" w:rsidRPr="00D70C84">
        <w:rPr>
          <w:rFonts w:ascii="Cambria" w:hAnsi="Cambria"/>
          <w:color w:val="000000"/>
          <w:sz w:val="24"/>
          <w:szCs w:val="24"/>
        </w:rPr>
        <w:t>,</w:t>
      </w:r>
      <w:r w:rsidRPr="00D70C84">
        <w:rPr>
          <w:rFonts w:ascii="Cambria" w:hAnsi="Cambria"/>
          <w:color w:val="000000"/>
          <w:sz w:val="24"/>
          <w:szCs w:val="24"/>
        </w:rPr>
        <w:t xml:space="preserve"> </w:t>
      </w:r>
    </w:p>
    <w:p w:rsidR="008C66B0" w:rsidRPr="00D70C84" w:rsidRDefault="008C66B0" w:rsidP="008A733A">
      <w:pPr>
        <w:numPr>
          <w:ilvl w:val="0"/>
          <w:numId w:val="2"/>
        </w:numPr>
        <w:autoSpaceDN w:val="0"/>
        <w:spacing w:after="0" w:line="240" w:lineRule="auto"/>
        <w:ind w:left="426" w:hanging="426"/>
        <w:textAlignment w:val="baseline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color w:val="000000"/>
          <w:sz w:val="24"/>
          <w:szCs w:val="24"/>
        </w:rPr>
        <w:t xml:space="preserve">System operacyjny </w:t>
      </w:r>
      <w:r w:rsidRPr="00D70C84">
        <w:rPr>
          <w:rFonts w:ascii="Cambria" w:hAnsi="Cambria"/>
          <w:color w:val="333333"/>
          <w:sz w:val="24"/>
          <w:szCs w:val="24"/>
          <w:u w:val="single"/>
        </w:rPr>
        <w:t>Windows 7 Professional 64 bit</w:t>
      </w:r>
      <w:r w:rsidR="00E40B7B" w:rsidRPr="00D70C84">
        <w:rPr>
          <w:rFonts w:ascii="Cambria" w:hAnsi="Cambria"/>
          <w:color w:val="333333"/>
          <w:sz w:val="24"/>
          <w:szCs w:val="24"/>
          <w:u w:val="single"/>
        </w:rPr>
        <w:t xml:space="preserve"> </w:t>
      </w:r>
      <w:r w:rsidR="00E40B7B" w:rsidRPr="00D70C84">
        <w:rPr>
          <w:rFonts w:ascii="Cambria" w:hAnsi="Cambria" w:cs="Tahoma"/>
          <w:color w:val="000000"/>
          <w:sz w:val="24"/>
          <w:szCs w:val="24"/>
        </w:rPr>
        <w:t>w polskiej wersji językowej</w:t>
      </w:r>
      <w:r w:rsidR="008A733A" w:rsidRPr="00D70C84">
        <w:rPr>
          <w:rFonts w:ascii="Cambria" w:hAnsi="Cambria" w:cs="Tahoma"/>
          <w:color w:val="000000"/>
          <w:sz w:val="24"/>
          <w:szCs w:val="24"/>
        </w:rPr>
        <w:t>.</w:t>
      </w:r>
    </w:p>
    <w:p w:rsidR="008C66B0" w:rsidRPr="00D70C84" w:rsidRDefault="008C66B0" w:rsidP="008C66B0">
      <w:pPr>
        <w:suppressAutoHyphens w:val="0"/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8C66B0" w:rsidRPr="00D70C84" w:rsidRDefault="008C66B0" w:rsidP="008A733A">
      <w:pPr>
        <w:pStyle w:val="Akapitzlist"/>
        <w:numPr>
          <w:ilvl w:val="0"/>
          <w:numId w:val="7"/>
        </w:numPr>
        <w:autoSpaceDE w:val="0"/>
        <w:spacing w:after="0" w:line="240" w:lineRule="auto"/>
        <w:ind w:left="426" w:hanging="426"/>
        <w:rPr>
          <w:rFonts w:ascii="Cambria" w:hAnsi="Cambria"/>
          <w:b/>
          <w:color w:val="000000"/>
          <w:sz w:val="24"/>
          <w:szCs w:val="24"/>
          <w:u w:val="single"/>
        </w:rPr>
      </w:pPr>
      <w:r w:rsidRPr="00D70C84">
        <w:rPr>
          <w:rFonts w:ascii="Cambria" w:hAnsi="Cambria"/>
          <w:b/>
          <w:color w:val="000000"/>
          <w:sz w:val="24"/>
          <w:szCs w:val="24"/>
          <w:u w:val="single"/>
        </w:rPr>
        <w:t>Minimalne wymagania techniczne dla zasilacza buforowego radiotelefonu stacji bazowej</w:t>
      </w:r>
      <w:r w:rsidR="008A733A" w:rsidRPr="00D70C84">
        <w:rPr>
          <w:rFonts w:ascii="Cambria" w:hAnsi="Cambria"/>
          <w:b/>
          <w:color w:val="000000"/>
          <w:sz w:val="24"/>
          <w:szCs w:val="24"/>
          <w:u w:val="single"/>
        </w:rPr>
        <w:t>: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Zasilacz </w:t>
      </w:r>
      <w:r w:rsidRPr="00D70C84">
        <w:rPr>
          <w:rFonts w:ascii="Cambria" w:hAnsi="Cambria"/>
          <w:b/>
          <w:bCs/>
          <w:sz w:val="24"/>
          <w:szCs w:val="24"/>
        </w:rPr>
        <w:t xml:space="preserve">buforowy  </w:t>
      </w:r>
      <w:r w:rsidRPr="00D70C84">
        <w:rPr>
          <w:rFonts w:ascii="Cambria" w:hAnsi="Cambria"/>
          <w:sz w:val="24"/>
          <w:szCs w:val="24"/>
        </w:rPr>
        <w:t>przeznaczony  do zasilania odb</w:t>
      </w:r>
      <w:r w:rsidR="008A733A" w:rsidRPr="00D70C84">
        <w:rPr>
          <w:rFonts w:ascii="Cambria" w:hAnsi="Cambria"/>
          <w:sz w:val="24"/>
          <w:szCs w:val="24"/>
        </w:rPr>
        <w:t>iorników radiokomunikacyjnych i </w:t>
      </w:r>
      <w:r w:rsidRPr="00D70C84">
        <w:rPr>
          <w:rFonts w:ascii="Cambria" w:hAnsi="Cambria"/>
          <w:sz w:val="24"/>
          <w:szCs w:val="24"/>
        </w:rPr>
        <w:t xml:space="preserve">teleinformatycznych prądu stałego o napięciu znamionowym 12V, z sieci jednofazowej 230V 50Hz, przy współpracy buforowej z wewnętrznym akumulatorem 7Ah. Zasilacz powinien być  wyposażony w: 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układ odłączania baterii (zabezpieczenie przed głębokim rozładowaniem)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układ regulacji napięcia ładowania sondą temperaturową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układ ograniczenia prądu ładowania do 1A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wskaźniki LED pokazujące stan zasilacza oraz stan naładowania akumulatora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układ optycznej i akustycznej (z możliwością kasowania) sygnalizacji awarii (przejście na pracę bateryjną, przekroczenie dopuszczalnych temperatur)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system wymiany akumulatora bez konieczności zdejmowania osłon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system montażu dodatkowego, wewnętrznego głośnika (opcja) - system wentylacji wnętrza zasilacza sterowany dwoma sondami temperaturowymi (z możliwością wyłączenia)</w:t>
      </w:r>
      <w:r w:rsidR="008A733A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8A733A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układ generujący sygnały alarmowe (opcja)</w:t>
      </w:r>
      <w:r w:rsidR="008A733A" w:rsidRPr="00D70C84">
        <w:rPr>
          <w:rFonts w:ascii="Cambria" w:hAnsi="Cambria"/>
          <w:sz w:val="24"/>
          <w:szCs w:val="24"/>
        </w:rPr>
        <w:t>.</w:t>
      </w:r>
    </w:p>
    <w:p w:rsidR="008C66B0" w:rsidRPr="00BF4514" w:rsidRDefault="008C66B0" w:rsidP="008C66B0">
      <w:pPr>
        <w:autoSpaceDE w:val="0"/>
        <w:spacing w:after="0" w:line="240" w:lineRule="auto"/>
        <w:rPr>
          <w:rFonts w:ascii="Cambria" w:hAnsi="Cambria"/>
          <w:sz w:val="6"/>
          <w:szCs w:val="6"/>
        </w:rPr>
      </w:pPr>
    </w:p>
    <w:p w:rsidR="008C66B0" w:rsidRPr="00D70C84" w:rsidRDefault="008A733A" w:rsidP="008C66B0">
      <w:pPr>
        <w:autoSpaceDE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D70C84">
        <w:rPr>
          <w:rFonts w:ascii="Cambria" w:hAnsi="Cambria"/>
          <w:b/>
          <w:sz w:val="24"/>
          <w:szCs w:val="24"/>
        </w:rPr>
        <w:t>Dane techniczne:</w:t>
      </w:r>
    </w:p>
    <w:p w:rsidR="008C66B0" w:rsidRPr="00BF4514" w:rsidRDefault="008C66B0" w:rsidP="008C66B0">
      <w:pPr>
        <w:autoSpaceDE w:val="0"/>
        <w:spacing w:after="0" w:line="240" w:lineRule="auto"/>
        <w:rPr>
          <w:rFonts w:ascii="Cambria" w:hAnsi="Cambria"/>
          <w:b/>
          <w:sz w:val="6"/>
          <w:szCs w:val="6"/>
        </w:rPr>
      </w:pP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Zmienność nap. wyjściowego 10V–14.2V DC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Wydajność prądowa (bez akumulatora) 10A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Parametry elek</w:t>
      </w:r>
      <w:r w:rsidR="00BE2601" w:rsidRPr="00D70C84">
        <w:rPr>
          <w:rFonts w:ascii="Cambria" w:hAnsi="Cambria"/>
          <w:sz w:val="24"/>
          <w:szCs w:val="24"/>
        </w:rPr>
        <w:t>tryczne (praca bez akumulatora),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Napięcie zasilania 187V - 265V AC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Prąd wyjściowy 10A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Pobór prądu &lt; 1.2A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Udar prądu przy załączeniu do sieci &lt; 15A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Zakłócenia radioelektryczne EN-55022 klasa B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Prąd upływu &lt; 2 </w:t>
      </w:r>
      <w:proofErr w:type="spellStart"/>
      <w:r w:rsidRPr="00D70C84">
        <w:rPr>
          <w:rFonts w:ascii="Cambria" w:hAnsi="Cambria"/>
          <w:sz w:val="24"/>
          <w:szCs w:val="24"/>
        </w:rPr>
        <w:t>mA</w:t>
      </w:r>
      <w:proofErr w:type="spellEnd"/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Częstotliwość przetwarzania 45 kHz ÷ 55 kHz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Sprawność dla warunków nominalnych &gt;80%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Współczynnik temperaturowy napięcia wyjściowego &lt; 0.03%/°C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Tętnienia napięcia wyjściowego &lt; 10 </w:t>
      </w:r>
      <w:proofErr w:type="spellStart"/>
      <w:r w:rsidRPr="00D70C84">
        <w:rPr>
          <w:rFonts w:ascii="Cambria" w:hAnsi="Cambria"/>
          <w:sz w:val="24"/>
          <w:szCs w:val="24"/>
        </w:rPr>
        <w:t>mV</w:t>
      </w:r>
      <w:proofErr w:type="spellEnd"/>
      <w:r w:rsidRPr="00D70C84">
        <w:rPr>
          <w:rFonts w:ascii="Cambria" w:hAnsi="Cambria"/>
          <w:sz w:val="24"/>
          <w:szCs w:val="24"/>
        </w:rPr>
        <w:t xml:space="preserve"> (RMS) &lt; 100 </w:t>
      </w:r>
      <w:proofErr w:type="spellStart"/>
      <w:r w:rsidRPr="00D70C84">
        <w:rPr>
          <w:rFonts w:ascii="Cambria" w:hAnsi="Cambria"/>
          <w:sz w:val="24"/>
          <w:szCs w:val="24"/>
        </w:rPr>
        <w:t>mV</w:t>
      </w:r>
      <w:proofErr w:type="spellEnd"/>
      <w:r w:rsidRPr="00D70C84">
        <w:rPr>
          <w:rFonts w:ascii="Cambria" w:hAnsi="Cambria"/>
          <w:sz w:val="24"/>
          <w:szCs w:val="24"/>
        </w:rPr>
        <w:t xml:space="preserve"> (p-p)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8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Wytrzymałość elektryczna izolacji</w:t>
      </w:r>
      <w:r w:rsidR="008A733A" w:rsidRPr="00D70C84">
        <w:rPr>
          <w:rFonts w:ascii="Cambria" w:hAnsi="Cambria"/>
          <w:sz w:val="24"/>
          <w:szCs w:val="24"/>
        </w:rPr>
        <w:t>:</w:t>
      </w:r>
    </w:p>
    <w:p w:rsidR="008C66B0" w:rsidRPr="00D70C84" w:rsidRDefault="008C66B0" w:rsidP="00BE2601">
      <w:pPr>
        <w:autoSpaceDE w:val="0"/>
        <w:spacing w:after="0" w:line="240" w:lineRule="auto"/>
        <w:ind w:firstLine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pomiędzy zaciskami sieciowymi a zaciskiem ochronnym 2100 V=</w:t>
      </w:r>
    </w:p>
    <w:p w:rsidR="008C66B0" w:rsidRPr="00D70C84" w:rsidRDefault="008C66B0" w:rsidP="00BE2601">
      <w:pPr>
        <w:autoSpaceDE w:val="0"/>
        <w:spacing w:after="0" w:line="240" w:lineRule="auto"/>
        <w:ind w:firstLine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pomiędzy zaciskami sieciowymi a zaciskami wyjściowymi 5300 V=</w:t>
      </w:r>
    </w:p>
    <w:p w:rsidR="008C66B0" w:rsidRPr="00D70C84" w:rsidRDefault="008C66B0" w:rsidP="00BE2601">
      <w:pPr>
        <w:autoSpaceDE w:val="0"/>
        <w:spacing w:after="0" w:line="240" w:lineRule="auto"/>
        <w:ind w:firstLine="420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- pomiędzy zaciskami wyjściowymi a zaciskiem ochronnym 500 V=</w:t>
      </w:r>
    </w:p>
    <w:p w:rsidR="008C66B0" w:rsidRPr="00D70C84" w:rsidRDefault="008A733A" w:rsidP="00BE260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Wymiary gabarytowe:</w:t>
      </w:r>
    </w:p>
    <w:p w:rsidR="008C66B0" w:rsidRPr="00D70C84" w:rsidRDefault="008A733A" w:rsidP="00BE2601">
      <w:pPr>
        <w:autoSpaceDE w:val="0"/>
        <w:spacing w:after="0" w:line="240" w:lineRule="auto"/>
        <w:ind w:firstLine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- </w:t>
      </w:r>
      <w:r w:rsidR="008C66B0" w:rsidRPr="00D70C84">
        <w:rPr>
          <w:rFonts w:ascii="Cambria" w:hAnsi="Cambria"/>
          <w:sz w:val="24"/>
          <w:szCs w:val="24"/>
        </w:rPr>
        <w:t>Masa ok. 2.3 kg</w:t>
      </w:r>
      <w:r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A733A" w:rsidP="00BE2601">
      <w:pPr>
        <w:autoSpaceDE w:val="0"/>
        <w:spacing w:after="0" w:line="240" w:lineRule="auto"/>
        <w:ind w:firstLine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- </w:t>
      </w:r>
      <w:r w:rsidR="008C66B0" w:rsidRPr="00D70C84">
        <w:rPr>
          <w:rFonts w:ascii="Cambria" w:hAnsi="Cambria"/>
          <w:sz w:val="24"/>
          <w:szCs w:val="24"/>
        </w:rPr>
        <w:t>Masa z akumulatorem ok. 4.9 kg</w:t>
      </w:r>
      <w:r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A733A" w:rsidP="00BE2601">
      <w:pPr>
        <w:autoSpaceDE w:val="0"/>
        <w:spacing w:after="0" w:line="240" w:lineRule="auto"/>
        <w:ind w:firstLine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- </w:t>
      </w:r>
      <w:r w:rsidR="008C66B0" w:rsidRPr="00D70C84">
        <w:rPr>
          <w:rFonts w:ascii="Cambria" w:hAnsi="Cambria"/>
          <w:sz w:val="24"/>
          <w:szCs w:val="24"/>
        </w:rPr>
        <w:t>Maksymalne wym. akumulatora [66x152x94]</w:t>
      </w:r>
      <w:r w:rsidRPr="00D70C84">
        <w:rPr>
          <w:rFonts w:ascii="Cambria" w:hAnsi="Cambria"/>
          <w:sz w:val="24"/>
          <w:szCs w:val="24"/>
        </w:rPr>
        <w:t>.</w:t>
      </w:r>
    </w:p>
    <w:p w:rsidR="008C66B0" w:rsidRPr="00D70C84" w:rsidRDefault="008C66B0" w:rsidP="008C66B0">
      <w:pPr>
        <w:autoSpaceDE w:val="0"/>
        <w:spacing w:after="0" w:line="240" w:lineRule="auto"/>
        <w:rPr>
          <w:rFonts w:ascii="Cambria" w:hAnsi="Cambria"/>
          <w:sz w:val="24"/>
          <w:szCs w:val="24"/>
        </w:rPr>
      </w:pPr>
    </w:p>
    <w:p w:rsidR="008C66B0" w:rsidRPr="00D70C84" w:rsidRDefault="008C66B0" w:rsidP="008C66B0">
      <w:pPr>
        <w:autoSpaceDE w:val="0"/>
        <w:spacing w:after="0" w:line="240" w:lineRule="auto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b/>
          <w:sz w:val="24"/>
          <w:szCs w:val="24"/>
        </w:rPr>
        <w:lastRenderedPageBreak/>
        <w:t>Opis warunków eksploatacji</w:t>
      </w:r>
      <w:r w:rsidR="008A733A" w:rsidRPr="00D70C84">
        <w:rPr>
          <w:rFonts w:ascii="Cambria" w:hAnsi="Cambria"/>
          <w:sz w:val="24"/>
          <w:szCs w:val="24"/>
        </w:rPr>
        <w:t>:</w:t>
      </w:r>
    </w:p>
    <w:p w:rsidR="008C66B0" w:rsidRPr="00BF4514" w:rsidRDefault="008C66B0" w:rsidP="008C66B0">
      <w:pPr>
        <w:autoSpaceDE w:val="0"/>
        <w:spacing w:after="0" w:line="240" w:lineRule="auto"/>
        <w:rPr>
          <w:rFonts w:ascii="Cambria" w:hAnsi="Cambria"/>
          <w:sz w:val="6"/>
          <w:szCs w:val="6"/>
        </w:rPr>
      </w:pPr>
    </w:p>
    <w:p w:rsidR="008C66B0" w:rsidRPr="00D70C84" w:rsidRDefault="008C66B0" w:rsidP="00BE260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Temperatura przechowywania -25°C ÷ +85°C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Temperatura pracy -10°C ÷ 55°C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>Wilgotność względna 40% ÷ 95%</w:t>
      </w:r>
      <w:r w:rsidR="00BE2601" w:rsidRPr="00D70C84">
        <w:rPr>
          <w:rFonts w:ascii="Cambria" w:hAnsi="Cambria"/>
          <w:sz w:val="24"/>
          <w:szCs w:val="24"/>
        </w:rPr>
        <w:t>,</w:t>
      </w:r>
    </w:p>
    <w:p w:rsidR="008C66B0" w:rsidRPr="00D70C84" w:rsidRDefault="008C66B0" w:rsidP="00BE260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Ciśnienie atmosferyczne 84 </w:t>
      </w:r>
      <w:proofErr w:type="spellStart"/>
      <w:r w:rsidRPr="00D70C84">
        <w:rPr>
          <w:rFonts w:ascii="Cambria" w:hAnsi="Cambria"/>
          <w:sz w:val="24"/>
          <w:szCs w:val="24"/>
        </w:rPr>
        <w:t>kPa</w:t>
      </w:r>
      <w:proofErr w:type="spellEnd"/>
      <w:r w:rsidRPr="00D70C84">
        <w:rPr>
          <w:rFonts w:ascii="Cambria" w:hAnsi="Cambria"/>
          <w:sz w:val="24"/>
          <w:szCs w:val="24"/>
        </w:rPr>
        <w:t xml:space="preserve"> ÷ 107 </w:t>
      </w:r>
      <w:proofErr w:type="spellStart"/>
      <w:r w:rsidRPr="00D70C84">
        <w:rPr>
          <w:rFonts w:ascii="Cambria" w:hAnsi="Cambria"/>
          <w:sz w:val="24"/>
          <w:szCs w:val="24"/>
        </w:rPr>
        <w:t>kPa</w:t>
      </w:r>
      <w:proofErr w:type="spellEnd"/>
      <w:r w:rsidR="00BE2601" w:rsidRPr="00D70C84">
        <w:rPr>
          <w:rFonts w:ascii="Cambria" w:hAnsi="Cambria"/>
          <w:sz w:val="24"/>
          <w:szCs w:val="24"/>
        </w:rPr>
        <w:t>.</w:t>
      </w:r>
    </w:p>
    <w:p w:rsidR="008C66B0" w:rsidRPr="00BF4514" w:rsidRDefault="008C66B0" w:rsidP="008C66B0">
      <w:pPr>
        <w:autoSpaceDE w:val="0"/>
        <w:spacing w:after="0" w:line="240" w:lineRule="auto"/>
        <w:rPr>
          <w:rFonts w:ascii="Cambria" w:hAnsi="Cambria"/>
          <w:sz w:val="6"/>
          <w:szCs w:val="6"/>
        </w:rPr>
      </w:pPr>
    </w:p>
    <w:p w:rsidR="008C66B0" w:rsidRPr="00D70C84" w:rsidRDefault="008A733A" w:rsidP="008C66B0">
      <w:pPr>
        <w:autoSpaceDE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D70C84">
        <w:rPr>
          <w:rFonts w:ascii="Cambria" w:hAnsi="Cambria"/>
          <w:b/>
          <w:sz w:val="24"/>
          <w:szCs w:val="24"/>
        </w:rPr>
        <w:t>Instalowanie.</w:t>
      </w:r>
    </w:p>
    <w:p w:rsidR="008C66B0" w:rsidRPr="00D70C84" w:rsidRDefault="00BE2601" w:rsidP="00BE2601">
      <w:pPr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70C84">
        <w:rPr>
          <w:rFonts w:ascii="Cambria" w:hAnsi="Cambria"/>
          <w:sz w:val="24"/>
          <w:szCs w:val="24"/>
        </w:rPr>
        <w:t xml:space="preserve">Zasilacz </w:t>
      </w:r>
      <w:r w:rsidR="00D60437">
        <w:rPr>
          <w:rFonts w:ascii="Cambria" w:hAnsi="Cambria"/>
          <w:sz w:val="24"/>
          <w:szCs w:val="24"/>
        </w:rPr>
        <w:t xml:space="preserve">powinien spełniać </w:t>
      </w:r>
      <w:r w:rsidR="008C66B0" w:rsidRPr="00D70C84">
        <w:rPr>
          <w:rFonts w:ascii="Cambria" w:hAnsi="Cambria"/>
          <w:sz w:val="24"/>
          <w:szCs w:val="24"/>
        </w:rPr>
        <w:t>wymagania</w:t>
      </w:r>
      <w:r w:rsidR="008C66B0" w:rsidRPr="00D70C84">
        <w:rPr>
          <w:rFonts w:ascii="Cambria" w:hAnsi="Cambria"/>
          <w:b/>
          <w:bCs/>
          <w:sz w:val="24"/>
          <w:szCs w:val="24"/>
        </w:rPr>
        <w:t>:</w:t>
      </w:r>
      <w:r w:rsidRPr="00D70C84">
        <w:rPr>
          <w:rFonts w:ascii="Cambria" w:hAnsi="Cambria"/>
          <w:b/>
          <w:bCs/>
          <w:sz w:val="24"/>
          <w:szCs w:val="24"/>
        </w:rPr>
        <w:t xml:space="preserve"> </w:t>
      </w:r>
      <w:r w:rsidR="008C66B0" w:rsidRPr="00D70C84">
        <w:rPr>
          <w:rFonts w:ascii="Cambria" w:hAnsi="Cambria"/>
          <w:sz w:val="24"/>
          <w:szCs w:val="24"/>
        </w:rPr>
        <w:t>klasy według EN-60950. Z</w:t>
      </w:r>
      <w:bookmarkStart w:id="0" w:name="_GoBack"/>
      <w:bookmarkEnd w:id="0"/>
      <w:r w:rsidR="008C66B0" w:rsidRPr="00D70C84">
        <w:rPr>
          <w:rFonts w:ascii="Cambria" w:hAnsi="Cambria"/>
          <w:sz w:val="24"/>
          <w:szCs w:val="24"/>
        </w:rPr>
        <w:t xml:space="preserve">asilacz musi być przyłączony do sieci elektroenergetycznej, w której jako ochronę od porażeń prądem elektrycznym stosuje się uziemienie </w:t>
      </w:r>
      <w:r w:rsidRPr="00D70C84">
        <w:rPr>
          <w:rFonts w:ascii="Cambria" w:hAnsi="Cambria"/>
          <w:sz w:val="24"/>
          <w:szCs w:val="24"/>
        </w:rPr>
        <w:t xml:space="preserve">ochronne. W </w:t>
      </w:r>
      <w:r w:rsidR="008C66B0" w:rsidRPr="00D70C84">
        <w:rPr>
          <w:rFonts w:ascii="Cambria" w:hAnsi="Cambria"/>
          <w:sz w:val="24"/>
          <w:szCs w:val="24"/>
        </w:rPr>
        <w:t xml:space="preserve">zasilaczach powinny być zastosowane filtry przeciwzakłóceniowe z kondensatorami klasy Y, wykazują one prąd upływu (nie większy od 2 </w:t>
      </w:r>
      <w:proofErr w:type="spellStart"/>
      <w:r w:rsidR="008C66B0" w:rsidRPr="00D70C84">
        <w:rPr>
          <w:rFonts w:ascii="Cambria" w:hAnsi="Cambria"/>
          <w:sz w:val="24"/>
          <w:szCs w:val="24"/>
        </w:rPr>
        <w:t>mA</w:t>
      </w:r>
      <w:proofErr w:type="spellEnd"/>
      <w:r w:rsidR="008C66B0" w:rsidRPr="00D70C84">
        <w:rPr>
          <w:rFonts w:ascii="Cambria" w:hAnsi="Cambria"/>
          <w:sz w:val="24"/>
          <w:szCs w:val="24"/>
        </w:rPr>
        <w:t>).</w:t>
      </w:r>
    </w:p>
    <w:p w:rsidR="001F435A" w:rsidRPr="00D70C84" w:rsidRDefault="001F435A" w:rsidP="008C66B0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F81F00" w:rsidRPr="00D70C84" w:rsidRDefault="00F81F00" w:rsidP="008C66B0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/>
          <w:b/>
          <w:color w:val="000000"/>
          <w:sz w:val="28"/>
          <w:szCs w:val="28"/>
          <w:u w:val="single"/>
        </w:rPr>
      </w:pPr>
      <w:r w:rsidRPr="00D70C84">
        <w:rPr>
          <w:rFonts w:ascii="Cambria" w:hAnsi="Cambria"/>
          <w:b/>
          <w:color w:val="000000"/>
          <w:sz w:val="28"/>
          <w:szCs w:val="28"/>
          <w:u w:val="single"/>
        </w:rPr>
        <w:t>Uwaga:</w:t>
      </w:r>
    </w:p>
    <w:p w:rsidR="001B2BB8" w:rsidRPr="00D70C84" w:rsidRDefault="001B2BB8" w:rsidP="008958F2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D70C84">
        <w:rPr>
          <w:rFonts w:ascii="Cambria" w:hAnsi="Cambria" w:cs="Calibri"/>
          <w:sz w:val="24"/>
          <w:szCs w:val="24"/>
        </w:rPr>
        <w:t xml:space="preserve">Zamawiający informuje, iż </w:t>
      </w:r>
      <w:r w:rsidRPr="00D70C84">
        <w:rPr>
          <w:rFonts w:ascii="Cambria" w:hAnsi="Cambria" w:cstheme="minorHAnsi"/>
          <w:sz w:val="24"/>
          <w:szCs w:val="24"/>
        </w:rPr>
        <w:t>wprowadza następujące zmiany w zapisie SIWZ:</w:t>
      </w:r>
    </w:p>
    <w:p w:rsidR="001B2BB8" w:rsidRPr="00D70C84" w:rsidRDefault="001B2BB8" w:rsidP="008958F2">
      <w:pPr>
        <w:pStyle w:val="Tekstpodstawowywcity3"/>
        <w:numPr>
          <w:ilvl w:val="0"/>
          <w:numId w:val="5"/>
        </w:numPr>
        <w:tabs>
          <w:tab w:val="left" w:pos="-993"/>
        </w:tabs>
        <w:suppressAutoHyphens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D70C84">
        <w:rPr>
          <w:rFonts w:ascii="Cambria" w:hAnsi="Cambria" w:cstheme="minorHAnsi"/>
          <w:sz w:val="24"/>
          <w:szCs w:val="24"/>
        </w:rPr>
        <w:t>w rozdziale 12 dot. wadium – pkt. 3 otrzymuje brzmienie:</w:t>
      </w:r>
    </w:p>
    <w:p w:rsidR="001B2BB8" w:rsidRPr="00D70C84" w:rsidRDefault="001B2BB8" w:rsidP="008958F2">
      <w:pPr>
        <w:suppressAutoHyphens w:val="0"/>
        <w:spacing w:after="0" w:line="240" w:lineRule="auto"/>
        <w:ind w:firstLine="284"/>
        <w:jc w:val="both"/>
        <w:rPr>
          <w:rFonts w:ascii="Cambria" w:hAnsi="Cambria"/>
          <w:b/>
          <w:sz w:val="24"/>
          <w:szCs w:val="24"/>
        </w:rPr>
      </w:pPr>
      <w:r w:rsidRPr="00D70C84">
        <w:rPr>
          <w:rFonts w:ascii="Cambria" w:hAnsi="Cambria"/>
          <w:b/>
          <w:sz w:val="24"/>
          <w:szCs w:val="24"/>
        </w:rPr>
        <w:t xml:space="preserve">„Wadium musi być wniesione najpóźniej do dnia </w:t>
      </w:r>
      <w:r w:rsidRPr="00D70C84">
        <w:rPr>
          <w:rFonts w:ascii="Cambria" w:hAnsi="Cambria"/>
          <w:b/>
          <w:color w:val="FF0000"/>
          <w:sz w:val="24"/>
          <w:szCs w:val="24"/>
        </w:rPr>
        <w:t xml:space="preserve">20.05.2013 </w:t>
      </w:r>
      <w:r w:rsidRPr="00D70C84">
        <w:rPr>
          <w:rFonts w:ascii="Cambria" w:hAnsi="Cambria"/>
          <w:b/>
          <w:sz w:val="24"/>
          <w:szCs w:val="24"/>
        </w:rPr>
        <w:t>r. do godz. 10.00”.</w:t>
      </w:r>
    </w:p>
    <w:p w:rsidR="001B2BB8" w:rsidRPr="00D70C84" w:rsidRDefault="001B2BB8" w:rsidP="008958F2">
      <w:pPr>
        <w:pStyle w:val="Tekstpodstawowywcity3"/>
        <w:numPr>
          <w:ilvl w:val="0"/>
          <w:numId w:val="5"/>
        </w:numPr>
        <w:tabs>
          <w:tab w:val="left" w:pos="-993"/>
        </w:tabs>
        <w:suppressAutoHyphens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D70C84">
        <w:rPr>
          <w:rFonts w:ascii="Cambria" w:hAnsi="Cambria" w:cstheme="minorHAnsi"/>
          <w:sz w:val="24"/>
          <w:szCs w:val="24"/>
        </w:rPr>
        <w:t>rozdział 19 dot. terminu i miejsca składania ofert – otrzymuje brzmienie:</w:t>
      </w:r>
    </w:p>
    <w:p w:rsidR="008958F2" w:rsidRPr="00D70C84" w:rsidRDefault="008958F2" w:rsidP="008958F2">
      <w:pPr>
        <w:spacing w:after="0" w:line="240" w:lineRule="auto"/>
        <w:ind w:firstLine="284"/>
        <w:jc w:val="both"/>
        <w:rPr>
          <w:rFonts w:ascii="Cambria" w:hAnsi="Cambria"/>
          <w:b/>
          <w:vanish/>
          <w:sz w:val="24"/>
          <w:szCs w:val="24"/>
          <w:specVanish/>
        </w:rPr>
      </w:pPr>
      <w:r w:rsidRPr="00D70C84">
        <w:rPr>
          <w:rFonts w:ascii="Cambria" w:hAnsi="Cambria" w:cstheme="minorHAnsi"/>
          <w:b/>
          <w:sz w:val="24"/>
          <w:szCs w:val="24"/>
        </w:rPr>
        <w:t>„</w:t>
      </w:r>
      <w:r w:rsidRPr="00D70C84">
        <w:rPr>
          <w:rFonts w:ascii="Cambria" w:hAnsi="Cambria"/>
          <w:b/>
          <w:sz w:val="24"/>
          <w:szCs w:val="24"/>
        </w:rPr>
        <w:t xml:space="preserve">Oferty należy składać do dnia </w:t>
      </w:r>
      <w:r w:rsidRPr="00D70C84">
        <w:rPr>
          <w:rFonts w:ascii="Cambria" w:hAnsi="Cambria"/>
          <w:b/>
          <w:color w:val="FF0000"/>
          <w:sz w:val="24"/>
          <w:szCs w:val="24"/>
        </w:rPr>
        <w:t xml:space="preserve">20.05.2013 </w:t>
      </w:r>
      <w:r w:rsidRPr="00D70C84">
        <w:rPr>
          <w:rFonts w:ascii="Cambria" w:hAnsi="Cambria"/>
          <w:b/>
          <w:sz w:val="24"/>
          <w:szCs w:val="24"/>
        </w:rPr>
        <w:t>r. do godziny 10</w:t>
      </w:r>
      <w:r w:rsidRPr="00D70C84">
        <w:rPr>
          <w:rFonts w:ascii="Cambria" w:hAnsi="Cambria"/>
          <w:b/>
          <w:sz w:val="24"/>
          <w:szCs w:val="24"/>
          <w:vertAlign w:val="superscript"/>
        </w:rPr>
        <w:t>00</w:t>
      </w:r>
    </w:p>
    <w:p w:rsidR="008958F2" w:rsidRPr="00D70C84" w:rsidRDefault="008958F2" w:rsidP="008958F2">
      <w:pPr>
        <w:pStyle w:val="Tekstpodstawowywcity3"/>
        <w:tabs>
          <w:tab w:val="left" w:pos="-993"/>
        </w:tabs>
        <w:suppressAutoHyphens w:val="0"/>
        <w:spacing w:after="0" w:line="240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D70C84">
        <w:rPr>
          <w:rFonts w:ascii="Cambria" w:hAnsi="Cambria" w:cstheme="minorHAnsi"/>
          <w:b/>
          <w:sz w:val="24"/>
          <w:szCs w:val="24"/>
        </w:rPr>
        <w:t>”.</w:t>
      </w:r>
    </w:p>
    <w:p w:rsidR="001B2BB8" w:rsidRPr="00D70C84" w:rsidRDefault="008958F2" w:rsidP="008958F2">
      <w:pPr>
        <w:pStyle w:val="Tekstpodstawowywcity3"/>
        <w:numPr>
          <w:ilvl w:val="0"/>
          <w:numId w:val="5"/>
        </w:numPr>
        <w:tabs>
          <w:tab w:val="left" w:pos="-993"/>
        </w:tabs>
        <w:suppressAutoHyphens w:val="0"/>
        <w:spacing w:after="0" w:line="240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D70C84">
        <w:rPr>
          <w:rFonts w:ascii="Cambria" w:hAnsi="Cambria" w:cstheme="minorHAnsi"/>
          <w:sz w:val="24"/>
          <w:szCs w:val="24"/>
        </w:rPr>
        <w:t xml:space="preserve">w rozdziale </w:t>
      </w:r>
      <w:r w:rsidR="001B2BB8" w:rsidRPr="00D70C84">
        <w:rPr>
          <w:rFonts w:ascii="Cambria" w:hAnsi="Cambria" w:cstheme="minorHAnsi"/>
          <w:sz w:val="24"/>
          <w:szCs w:val="24"/>
        </w:rPr>
        <w:t>2</w:t>
      </w:r>
      <w:r w:rsidRPr="00D70C84">
        <w:rPr>
          <w:rFonts w:ascii="Cambria" w:hAnsi="Cambria" w:cstheme="minorHAnsi"/>
          <w:sz w:val="24"/>
          <w:szCs w:val="24"/>
        </w:rPr>
        <w:t>0 dot. otwarcia ofert – pkt. 1</w:t>
      </w:r>
      <w:r w:rsidR="001B2BB8" w:rsidRPr="00D70C84">
        <w:rPr>
          <w:rFonts w:ascii="Cambria" w:hAnsi="Cambria" w:cstheme="minorHAnsi"/>
          <w:sz w:val="24"/>
          <w:szCs w:val="24"/>
        </w:rPr>
        <w:t xml:space="preserve"> otrzymuje brzmienie:</w:t>
      </w:r>
    </w:p>
    <w:p w:rsidR="001B2BB8" w:rsidRPr="008958F2" w:rsidRDefault="008958F2" w:rsidP="008958F2">
      <w:pPr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D70C84">
        <w:rPr>
          <w:rFonts w:ascii="Cambria" w:hAnsi="Cambria" w:cstheme="minorHAnsi"/>
          <w:b/>
          <w:sz w:val="24"/>
          <w:szCs w:val="24"/>
        </w:rPr>
        <w:t>„</w:t>
      </w:r>
      <w:r w:rsidRPr="00D70C84">
        <w:rPr>
          <w:rFonts w:ascii="Cambria" w:hAnsi="Cambria"/>
          <w:b/>
          <w:sz w:val="24"/>
          <w:szCs w:val="24"/>
        </w:rPr>
        <w:t xml:space="preserve">Otwarcie ofert nastąpi dnia </w:t>
      </w:r>
      <w:r w:rsidRPr="00D70C84">
        <w:rPr>
          <w:rFonts w:ascii="Cambria" w:hAnsi="Cambria"/>
          <w:b/>
          <w:color w:val="FF0000"/>
          <w:sz w:val="24"/>
          <w:szCs w:val="24"/>
        </w:rPr>
        <w:t xml:space="preserve">20.05.2013 </w:t>
      </w:r>
      <w:r w:rsidRPr="00D70C84">
        <w:rPr>
          <w:rFonts w:ascii="Cambria" w:hAnsi="Cambria"/>
          <w:b/>
          <w:sz w:val="24"/>
          <w:szCs w:val="24"/>
        </w:rPr>
        <w:t>r. o godzinie 10</w:t>
      </w:r>
      <w:r w:rsidRPr="00D70C84">
        <w:rPr>
          <w:rFonts w:ascii="Cambria" w:hAnsi="Cambria"/>
          <w:b/>
          <w:sz w:val="24"/>
          <w:szCs w:val="24"/>
          <w:vertAlign w:val="superscript"/>
        </w:rPr>
        <w:t>15</w:t>
      </w:r>
      <w:r w:rsidRPr="00D70C84">
        <w:rPr>
          <w:rFonts w:ascii="Cambria" w:hAnsi="Cambria"/>
          <w:b/>
          <w:sz w:val="24"/>
          <w:szCs w:val="24"/>
        </w:rPr>
        <w:t xml:space="preserve">, w siedzibie </w:t>
      </w:r>
      <w:r w:rsidRPr="00D70C84">
        <w:rPr>
          <w:rFonts w:ascii="Cambria" w:hAnsi="Cambria"/>
          <w:b/>
          <w:bCs/>
          <w:sz w:val="24"/>
          <w:szCs w:val="24"/>
        </w:rPr>
        <w:t>Zamawiającego (sala konferencyjna), w pok. nr 300 B (II piętro)</w:t>
      </w:r>
      <w:r w:rsidRPr="00D70C84">
        <w:rPr>
          <w:rFonts w:ascii="Cambria" w:hAnsi="Cambria" w:cstheme="minorHAnsi"/>
          <w:b/>
          <w:sz w:val="24"/>
          <w:szCs w:val="24"/>
        </w:rPr>
        <w:t>”.</w:t>
      </w:r>
    </w:p>
    <w:sectPr w:rsidR="001B2BB8" w:rsidRPr="008958F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PGothic">
    <w:altName w:val="Arial Unicode MS"/>
    <w:charset w:val="80"/>
    <w:family w:val="swiss"/>
    <w:pitch w:val="variable"/>
    <w:sig w:usb0="00000000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2F8"/>
    <w:multiLevelType w:val="hybridMultilevel"/>
    <w:tmpl w:val="1A56A2D8"/>
    <w:lvl w:ilvl="0" w:tplc="A1443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B3E"/>
    <w:multiLevelType w:val="hybridMultilevel"/>
    <w:tmpl w:val="3C7247AC"/>
    <w:lvl w:ilvl="0" w:tplc="1B6449BA">
      <w:start w:val="1"/>
      <w:numFmt w:val="decimal"/>
      <w:lvlText w:val="%1)"/>
      <w:lvlJc w:val="left"/>
      <w:pPr>
        <w:ind w:left="720" w:hanging="360"/>
      </w:pPr>
      <w:rPr>
        <w:rFonts w:ascii="Cambria" w:eastAsia="Arial Unicode MS" w:hAnsi="Cambria" w:cs="font18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7A56"/>
    <w:multiLevelType w:val="hybridMultilevel"/>
    <w:tmpl w:val="2DEE6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63F"/>
    <w:multiLevelType w:val="multilevel"/>
    <w:tmpl w:val="D7A6BD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779564B"/>
    <w:multiLevelType w:val="hybridMultilevel"/>
    <w:tmpl w:val="969C5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D028A"/>
    <w:multiLevelType w:val="multilevel"/>
    <w:tmpl w:val="A1C81A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387A73"/>
    <w:multiLevelType w:val="hybridMultilevel"/>
    <w:tmpl w:val="8A96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904F7"/>
    <w:multiLevelType w:val="hybridMultilevel"/>
    <w:tmpl w:val="5232B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B2294"/>
    <w:multiLevelType w:val="hybridMultilevel"/>
    <w:tmpl w:val="8FF2E30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F193284"/>
    <w:multiLevelType w:val="hybridMultilevel"/>
    <w:tmpl w:val="051AF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1B2BB8"/>
    <w:rsid w:val="001F076A"/>
    <w:rsid w:val="001F435A"/>
    <w:rsid w:val="00321904"/>
    <w:rsid w:val="008958F2"/>
    <w:rsid w:val="008A733A"/>
    <w:rsid w:val="008C66B0"/>
    <w:rsid w:val="00A37943"/>
    <w:rsid w:val="00A43E3F"/>
    <w:rsid w:val="00A54D7A"/>
    <w:rsid w:val="00AC304E"/>
    <w:rsid w:val="00BE2601"/>
    <w:rsid w:val="00BF4514"/>
    <w:rsid w:val="00C32F09"/>
    <w:rsid w:val="00D42FEF"/>
    <w:rsid w:val="00D60437"/>
    <w:rsid w:val="00D70C84"/>
    <w:rsid w:val="00E40B7B"/>
    <w:rsid w:val="00ED73FB"/>
    <w:rsid w:val="00EE602F"/>
    <w:rsid w:val="00F8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00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1F0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F81F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1F00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2F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B2BB8"/>
    <w:pPr>
      <w:spacing w:after="120"/>
    </w:pPr>
    <w:rPr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2BB8"/>
    <w:rPr>
      <w:rFonts w:ascii="Calibri" w:eastAsia="Arial Unicode MS" w:hAnsi="Calibri" w:cs="font186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gminaz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F2DE-FE81-4640-9FF7-F5C6FE9E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18</cp:revision>
  <dcterms:created xsi:type="dcterms:W3CDTF">2013-05-14T05:23:00Z</dcterms:created>
  <dcterms:modified xsi:type="dcterms:W3CDTF">2013-05-14T12:41:00Z</dcterms:modified>
</cp:coreProperties>
</file>