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</w:pP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  <w:t xml:space="preserve">Załącznik Nr 4 </w:t>
      </w:r>
    </w:p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</w:pP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  <w:t>Do Uchwały Rady Miasta Gorzowa Wlkp.</w:t>
      </w:r>
    </w:p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</w:pP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  <w:t>Nr XXXV/422/2016 z dnia 29 listopada 2016 r.</w:t>
      </w:r>
    </w:p>
    <w:tbl>
      <w:tblPr>
        <w:tblW w:w="3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093C32" w:rsidRPr="00093C32" w:rsidTr="00682309">
        <w:trPr>
          <w:cantSplit/>
          <w:trHeight w:val="412"/>
        </w:trPr>
        <w:tc>
          <w:tcPr>
            <w:tcW w:w="3420" w:type="dxa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sz w:val="14"/>
                <w:lang w:eastAsia="pl-PL"/>
              </w:rPr>
            </w:pPr>
            <w:r w:rsidRPr="00093C32">
              <w:rPr>
                <w:rFonts w:eastAsia="Times New Roman" w:cs="Times New Roman"/>
                <w:sz w:val="14"/>
                <w:lang w:eastAsia="pl-PL"/>
              </w:rPr>
              <w:t>1. Identyfikator podatkowy podatnika NIP / PESEL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sz w:val="28"/>
                <w:lang w:eastAsia="pl-PL"/>
              </w:rPr>
            </w:pPr>
            <w:r w:rsidRPr="00093C32">
              <w:rPr>
                <w:rFonts w:eastAsia="Times New Roman" w:cs="Times New Roman"/>
                <w:sz w:val="28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93C32">
              <w:rPr>
                <w:rFonts w:eastAsia="Times New Roman" w:cs="Times New Roman"/>
                <w:sz w:val="2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sz w:val="28"/>
                <w:lang w:eastAsia="pl-PL"/>
              </w:rPr>
            </w:r>
            <w:r w:rsidRPr="00093C32">
              <w:rPr>
                <w:rFonts w:eastAsia="Times New Roman" w:cs="Times New Roman"/>
                <w:sz w:val="2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noProof/>
                <w:sz w:val="2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noProof/>
                <w:sz w:val="2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noProof/>
                <w:sz w:val="2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noProof/>
                <w:sz w:val="2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noProof/>
                <w:sz w:val="2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sz w:val="28"/>
                <w:lang w:eastAsia="pl-PL"/>
              </w:rPr>
              <w:fldChar w:fldCharType="end"/>
            </w:r>
            <w:bookmarkEnd w:id="0"/>
            <w:r w:rsidRPr="00093C32">
              <w:rPr>
                <w:rFonts w:eastAsia="Times New Roman" w:cs="Times New Roman"/>
                <w:sz w:val="28"/>
                <w:lang w:eastAsia="pl-PL"/>
              </w:rPr>
              <w:t xml:space="preserve"> </w:t>
            </w:r>
          </w:p>
        </w:tc>
      </w:tr>
    </w:tbl>
    <w:p w:rsidR="00093C32" w:rsidRPr="00093C32" w:rsidRDefault="00093C32" w:rsidP="00093C32">
      <w:pPr>
        <w:keepNext/>
        <w:ind w:left="0" w:firstLine="0"/>
        <w:jc w:val="center"/>
        <w:outlineLvl w:val="4"/>
        <w:rPr>
          <w:rFonts w:eastAsia="Times New Roman" w:cs="Times New Roman"/>
          <w:b/>
          <w:lang w:eastAsia="pl-PL"/>
        </w:rPr>
      </w:pPr>
    </w:p>
    <w:p w:rsidR="00093C32" w:rsidRPr="00093C32" w:rsidRDefault="00093C32" w:rsidP="00093C32">
      <w:pPr>
        <w:keepNext/>
        <w:ind w:left="0" w:firstLine="0"/>
        <w:jc w:val="center"/>
        <w:outlineLvl w:val="4"/>
        <w:rPr>
          <w:rFonts w:eastAsia="Times New Roman" w:cs="Times New Roman"/>
          <w:b/>
          <w:sz w:val="18"/>
          <w:szCs w:val="18"/>
          <w:lang w:eastAsia="pl-PL"/>
        </w:rPr>
      </w:pPr>
      <w:r w:rsidRPr="00093C32">
        <w:rPr>
          <w:rFonts w:eastAsia="Times New Roman" w:cs="Times New Roman"/>
          <w:b/>
          <w:sz w:val="18"/>
          <w:szCs w:val="18"/>
          <w:lang w:eastAsia="pl-PL"/>
        </w:rPr>
        <w:t>ZAŁĄCZNIK ZN-1/B – DANE O ZWOLNIENIACH PODATKOWYCH W PODATKU OD NIERUCHOMOŚCI</w:t>
      </w:r>
    </w:p>
    <w:p w:rsidR="00093C32" w:rsidRPr="00093C32" w:rsidRDefault="00093C32" w:rsidP="00093C32">
      <w:pPr>
        <w:ind w:left="0" w:firstLine="0"/>
        <w:rPr>
          <w:rFonts w:eastAsia="Times New Roman" w:cs="Times New Roman"/>
          <w:lang w:eastAsia="pl-P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76"/>
        <w:gridCol w:w="1559"/>
        <w:gridCol w:w="1620"/>
        <w:gridCol w:w="1620"/>
      </w:tblGrid>
      <w:tr w:rsidR="00093C32" w:rsidRPr="00093C32" w:rsidTr="00682309">
        <w:trPr>
          <w:cantSplit/>
          <w:trHeight w:val="1013"/>
        </w:trPr>
        <w:tc>
          <w:tcPr>
            <w:tcW w:w="9900" w:type="dxa"/>
            <w:gridSpan w:val="5"/>
            <w:shd w:val="clear" w:color="auto" w:fill="FFFFFF"/>
            <w:vAlign w:val="center"/>
          </w:tcPr>
          <w:p w:rsidR="00093C32" w:rsidRPr="00093C32" w:rsidRDefault="00093C32" w:rsidP="00093C32">
            <w:pPr>
              <w:numPr>
                <w:ilvl w:val="0"/>
                <w:numId w:val="21"/>
              </w:numPr>
              <w:rPr>
                <w:rFonts w:eastAsia="Times New Roman" w:cs="Times New Roman"/>
                <w:caps/>
                <w:sz w:val="18"/>
                <w:szCs w:val="18"/>
                <w:lang w:eastAsia="pl-PL"/>
              </w:rPr>
            </w:pPr>
            <w:r w:rsidRPr="00093C32">
              <w:rPr>
                <w:rFonts w:eastAsia="Times New Roman" w:cs="Times New Roman"/>
                <w:caps/>
                <w:sz w:val="18"/>
                <w:szCs w:val="18"/>
                <w:lang w:eastAsia="pl-PL"/>
              </w:rPr>
              <w:t>PRZEZNACZENIE FORMULARZA</w:t>
            </w:r>
          </w:p>
          <w:p w:rsidR="00093C32" w:rsidRPr="00093C32" w:rsidRDefault="00093C32" w:rsidP="00093C32">
            <w:pPr>
              <w:numPr>
                <w:ilvl w:val="0"/>
                <w:numId w:val="22"/>
              </w:numPr>
              <w:jc w:val="both"/>
              <w:rPr>
                <w:rFonts w:eastAsia="Times New Roman" w:cs="Times New Roman"/>
                <w:sz w:val="14"/>
                <w:lang w:eastAsia="pl-PL"/>
              </w:rPr>
            </w:pPr>
            <w:r w:rsidRPr="00093C32">
              <w:rPr>
                <w:rFonts w:eastAsia="Times New Roman" w:cs="Times New Roman"/>
                <w:sz w:val="14"/>
                <w:lang w:eastAsia="pl-PL"/>
              </w:rPr>
              <w:t>Niniejszy formularz stanowi załącznik do (zaznaczyć właściwy kwadrat):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sz w:val="14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sz w:val="16"/>
                <w:szCs w:val="16"/>
                <w:highlight w:val="lightGray"/>
                <w:lang w:eastAsia="pl-PL"/>
              </w:rPr>
            </w:pPr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682309">
              <w:rPr>
                <w:rFonts w:eastAsia="Times New Roman" w:cs="Times New Roman"/>
                <w:sz w:val="16"/>
                <w:szCs w:val="16"/>
                <w:lang w:eastAsia="pl-PL"/>
              </w:rPr>
            </w:r>
            <w:r w:rsidR="00682309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end"/>
            </w:r>
            <w:bookmarkEnd w:id="1"/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deklaracji                                     </w:t>
            </w:r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682309">
              <w:rPr>
                <w:rFonts w:eastAsia="Times New Roman" w:cs="Times New Roman"/>
                <w:sz w:val="16"/>
                <w:szCs w:val="16"/>
                <w:lang w:eastAsia="pl-PL"/>
              </w:rPr>
            </w:r>
            <w:r w:rsidR="00682309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end"/>
            </w:r>
            <w:bookmarkEnd w:id="2"/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informacji</w:t>
            </w:r>
          </w:p>
        </w:tc>
      </w:tr>
      <w:tr w:rsidR="00093C32" w:rsidRPr="00093C32" w:rsidTr="00682309">
        <w:trPr>
          <w:cantSplit/>
          <w:trHeight w:val="210"/>
        </w:trPr>
        <w:tc>
          <w:tcPr>
            <w:tcW w:w="425" w:type="dxa"/>
            <w:tcBorders>
              <w:bottom w:val="nil"/>
            </w:tcBorders>
            <w:shd w:val="clear" w:color="auto" w:fill="FFFFFF"/>
          </w:tcPr>
          <w:p w:rsidR="00093C32" w:rsidRPr="00093C32" w:rsidRDefault="00093C32" w:rsidP="00093C32">
            <w:pPr>
              <w:spacing w:before="120"/>
              <w:ind w:left="0" w:firstLine="0"/>
              <w:rPr>
                <w:rFonts w:eastAsia="Times New Roman" w:cs="Times New Roman"/>
                <w:caps/>
                <w:lang w:eastAsia="pl-PL"/>
              </w:rPr>
            </w:pPr>
          </w:p>
        </w:tc>
        <w:tc>
          <w:tcPr>
            <w:tcW w:w="4676" w:type="dxa"/>
            <w:vMerge w:val="restart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Tytuł prawny zwolnienia</w:t>
            </w:r>
          </w:p>
        </w:tc>
        <w:tc>
          <w:tcPr>
            <w:tcW w:w="4799" w:type="dxa"/>
            <w:gridSpan w:val="3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Podstawa opodatkowania</w:t>
            </w:r>
          </w:p>
        </w:tc>
      </w:tr>
      <w:tr w:rsidR="00093C32" w:rsidRPr="00093C32" w:rsidTr="00682309">
        <w:trPr>
          <w:cantSplit/>
          <w:trHeight w:val="210"/>
        </w:trPr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093C32" w:rsidRPr="00093C32" w:rsidRDefault="00093C32" w:rsidP="00093C32">
            <w:pPr>
              <w:spacing w:before="120"/>
              <w:ind w:left="0" w:firstLine="0"/>
              <w:rPr>
                <w:rFonts w:eastAsia="Times New Roman" w:cs="Times New Roman"/>
                <w:caps/>
                <w:lang w:eastAsia="pl-PL"/>
              </w:rPr>
            </w:pPr>
          </w:p>
        </w:tc>
        <w:tc>
          <w:tcPr>
            <w:tcW w:w="4676" w:type="dxa"/>
            <w:vMerge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Grunty</w:t>
            </w:r>
          </w:p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(powierzchnia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br/>
              <w:t>w m</w:t>
            </w:r>
            <w:r w:rsidRPr="00093C32">
              <w:rPr>
                <w:rFonts w:eastAsia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Budynki lub ich części (powierzchnia użytkowa w m</w:t>
            </w:r>
            <w:r w:rsidRPr="00093C32">
              <w:rPr>
                <w:rFonts w:eastAsia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Budowle (wartość w zł)</w:t>
            </w:r>
          </w:p>
        </w:tc>
      </w:tr>
      <w:tr w:rsidR="00093C32" w:rsidRPr="00093C32" w:rsidTr="00682309">
        <w:trPr>
          <w:cantSplit/>
          <w:trHeight w:val="1045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3D3397" w:rsidRPr="003D3397" w:rsidRDefault="003D3397" w:rsidP="003D3397">
            <w:pPr>
              <w:ind w:left="0" w:firstLine="0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 xml:space="preserve">Art. 7 ust. 1 pkt 1 - </w:t>
            </w:r>
            <w:r w:rsidRPr="003D339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grunty, budy</w:t>
            </w:r>
            <w:r w:rsidR="00C22946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nki i budowle </w:t>
            </w:r>
            <w:r w:rsidRPr="003D339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wchodzące w skład infrastruktury kolejowej w rozumieniu przepisów o transporcie kolejowym, która:</w:t>
            </w:r>
          </w:p>
          <w:p w:rsidR="003D3397" w:rsidRPr="003D3397" w:rsidRDefault="003D3397" w:rsidP="003D3397">
            <w:pPr>
              <w:spacing w:before="26"/>
              <w:ind w:left="373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3D339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a) jest udostępniana przewoźnikom kolejowym lub</w:t>
            </w:r>
          </w:p>
          <w:p w:rsidR="003D3397" w:rsidRPr="003D3397" w:rsidRDefault="003D3397" w:rsidP="003D3397">
            <w:pPr>
              <w:spacing w:before="26"/>
              <w:ind w:left="373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3D339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b) jest wykorzystywana do przewozu osób, lub</w:t>
            </w:r>
          </w:p>
          <w:p w:rsidR="00093C32" w:rsidRPr="00093C32" w:rsidRDefault="003D3397" w:rsidP="003D3397">
            <w:pPr>
              <w:spacing w:before="26"/>
              <w:ind w:left="373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3D339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c) tworzy linie kolejowe o szerokości torów większej niż 1435 mm;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682309" w:rsidP="00682309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1.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93C32" w:rsidRPr="00093C32" w:rsidRDefault="00682309" w:rsidP="00093C32">
            <w:pPr>
              <w:keepNext/>
              <w:ind w:left="0" w:firstLine="0"/>
              <w:outlineLvl w:val="2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2.</w:t>
            </w:r>
          </w:p>
          <w:p w:rsidR="00093C32" w:rsidRPr="00093C32" w:rsidRDefault="00682309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682309" w:rsidP="00682309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3.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1045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1 pkt 1a – grunty, budynki i budowle pozostałe po likwidacji linii kolejowych lub ich odcinków – do czasu przeniesienia ich własności lub prawa użytkowania wieczystego – nie dłużej jednak niż przez 3 lata od pierwszego dnia miesiąca następującego po miesiącu, w którym stała się ostateczna decyzja lub weszło w życie rozporządzenie, wyrażające zgodę na likwidację </w:t>
            </w:r>
            <w:r w:rsidR="003D3397">
              <w:rPr>
                <w:rFonts w:eastAsia="Times New Roman"/>
                <w:sz w:val="15"/>
                <w:szCs w:val="15"/>
                <w:lang w:eastAsia="pl-PL"/>
              </w:rPr>
              <w:t xml:space="preserve">linii lub ich odcinków, wydane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w trybie przewidzianym w przepisach o transporcie kolejowym – z wyjątkiem zajętych na działalność inną niż działalność, o której mowa w przepisach o transporcie kolejowym.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tabs>
                <w:tab w:val="clear" w:pos="720"/>
              </w:tabs>
              <w:ind w:left="145" w:hanging="142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left="137" w:hanging="137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tabs>
                <w:tab w:val="clear" w:pos="720"/>
              </w:tabs>
              <w:ind w:left="84" w:hanging="84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42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1 pkt  4 – budynki gospodarcze lub ich części: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a) służące działalności leśnej lub rybackiej,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b)</w:t>
            </w:r>
            <w:r w:rsidR="003D3397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położone na gruntach gospodarstw rolnych, służące wyłącznie działalności rolniczej,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c) zajęte na prowadzenie działów specjalnych produkcji rolnej.</w:t>
            </w:r>
          </w:p>
        </w:tc>
        <w:tc>
          <w:tcPr>
            <w:tcW w:w="1559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9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695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1 pkt 5 – grunty, budynki lub ich części zajęte wyłącznie na potrzeby prowadzenia przez stowarzyszenia statutowej działalności wśród dzieci i młodzieży w zakresie oświaty, wychowania, nauki i techniki, kultury fizycznej i sportu,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br/>
            </w:r>
            <w:r w:rsidR="003D3397">
              <w:rPr>
                <w:rFonts w:eastAsia="Times New Roman"/>
                <w:sz w:val="15"/>
                <w:szCs w:val="15"/>
                <w:lang w:eastAsia="pl-PL"/>
              </w:rPr>
              <w:t>z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 wyjątkiem wykorzystywanych do prowadzenia działalności gospodarczej, oraz grunty zajęte trwale na obozowiska i bazy wypoczynkowe dzieci i młodzieży.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5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82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6 – grunty i budynki wpisane indywidualnie do rejestru zabytków, pod warunkiem ich utrzymania i konserwacji, zgodnie z przepisami o ochronie zabytków, z wyjątkiem części zajętych na prowadzenie działalności gospodarczej.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17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290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1 pkt 7 – grunty i budynki we władaniu muzeów rejestrowanych. 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17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spacing w:after="120"/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left="-5" w:firstLine="5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418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1 pkt 8a – będące własnością Skarbu Państwa: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a)  grunty pod wodami powierzchniowymi płynącymi jezior,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b) grunty zajęte pod sztuczne zbiorniki wodne, z wyjątkiem gruntów przekazanych w posiadanie innym podmiotom niż wymienione w art. </w:t>
            </w:r>
            <w:r w:rsidR="002567B1" w:rsidRPr="00E04090">
              <w:rPr>
                <w:color w:val="000000"/>
                <w:sz w:val="15"/>
                <w:szCs w:val="15"/>
              </w:rPr>
              <w:t xml:space="preserve">w </w:t>
            </w:r>
            <w:r w:rsidR="002567B1" w:rsidRPr="00E04090">
              <w:rPr>
                <w:color w:val="1B1B1B"/>
                <w:sz w:val="15"/>
                <w:szCs w:val="15"/>
              </w:rPr>
              <w:t>art. 212 ust. 1</w:t>
            </w:r>
            <w:r w:rsidR="002567B1" w:rsidRPr="00E04090">
              <w:rPr>
                <w:color w:val="000000"/>
                <w:sz w:val="15"/>
                <w:szCs w:val="15"/>
              </w:rPr>
              <w:t xml:space="preserve"> oraz </w:t>
            </w:r>
            <w:r w:rsidR="002567B1" w:rsidRPr="00E04090">
              <w:rPr>
                <w:color w:val="1B1B1B"/>
                <w:sz w:val="15"/>
                <w:szCs w:val="15"/>
              </w:rPr>
              <w:t>art. 213 ust. 1</w:t>
            </w:r>
            <w:r w:rsidR="002567B1" w:rsidRPr="00E04090">
              <w:rPr>
                <w:color w:val="000000"/>
                <w:sz w:val="15"/>
                <w:szCs w:val="15"/>
              </w:rPr>
              <w:t xml:space="preserve"> i </w:t>
            </w:r>
            <w:r w:rsidR="002567B1" w:rsidRPr="00E04090">
              <w:rPr>
                <w:color w:val="1B1B1B"/>
                <w:sz w:val="15"/>
                <w:szCs w:val="15"/>
              </w:rPr>
              <w:t>3</w:t>
            </w:r>
            <w:r w:rsidR="002567B1">
              <w:rPr>
                <w:color w:val="000000"/>
                <w:sz w:val="15"/>
                <w:szCs w:val="15"/>
              </w:rPr>
              <w:t xml:space="preserve"> ustawy z dnia 20 lipca 2017</w:t>
            </w:r>
            <w:r w:rsidR="002567B1" w:rsidRPr="00E04090">
              <w:rPr>
                <w:color w:val="000000"/>
                <w:sz w:val="15"/>
                <w:szCs w:val="15"/>
              </w:rPr>
              <w:t>r. - Prawo wodne (Dz. U. poz. 156</w:t>
            </w:r>
            <w:r w:rsidR="002567B1">
              <w:rPr>
                <w:color w:val="000000"/>
                <w:sz w:val="15"/>
                <w:szCs w:val="15"/>
              </w:rPr>
              <w:t>6)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637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9 – budowle wałów ochronnych, grunty pod wałami ochronnymi i położone w międzywalach, z wyjątkiem zajętych na prowadzenie działalności gospodarczej przez inne podmioty niż spółki wodne, ich związki oraz związki wałowe.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695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10 – grunty stanowiące nieużytki, użytki ekologiczne, grunty zadrzewione i zakrzewione, z wyjątkiem zajętych na prowadzenie działalności gospodarczej.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17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839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11 – grunty stanowiące działki przyzagrodowe członków rolniczych spółdzielni produkcyjnych, którzy spełniają jeden z warunków: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a) osiągnęli wiek emerytalny,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b) są inwalidami zaliczonymi do I albo II grupy,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c)</w:t>
            </w:r>
            <w:r w:rsidR="002567B1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są niepełnosprawnymi o znacznym lub umiarkowanym stopniu niepełnosprawności,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d)</w:t>
            </w:r>
            <w:r w:rsidR="002567B1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są osobami całkowicie niezdolnymi do pracy w gospodarstwie rolnym albo niezdolnymi do samodzielnej egzystencji.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839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12 – położone na terenie rodzinnego ogrodu działkowego: grunty, altany działkowe i obiekty gospodarcze o powierzchni zabudowy do 35m</w:t>
            </w:r>
            <w:r w:rsidRPr="00093C32">
              <w:rPr>
                <w:rFonts w:eastAsia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 oraz budynki stanowiące infrastrukturę ogrodową, w rozumieniu ustawy z dnia 13 grudnia 2013r. o rodzinnych ogrodach działkowych (Dz.U. z 2014r.  poz. 40</w:t>
            </w:r>
            <w:r w:rsidR="00F85919">
              <w:rPr>
                <w:rFonts w:eastAsia="Times New Roman"/>
                <w:sz w:val="15"/>
                <w:szCs w:val="15"/>
                <w:lang w:eastAsia="pl-PL"/>
              </w:rPr>
              <w:t xml:space="preserve"> z późn. zm.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), z wyjątkiem zajętych na prowadzenie działalności gospodarczej.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4753FC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20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839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color w:val="FF0000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13 – budynki i budowle zajęte przez grupę producentów rolnych wpisaną do rejestru tych grup, wykorzystywane wyłącznie na prowadzenie działalności w zakresie sprzedaży produktów lub grup produktów wytworzonych                  w gospodarstwach członków grupy lub w zakresie określonym w art. 4 ust. 2 ustawy z dnia 15 września 2000r. o grupach producentów rolnych i ich związkach oraz o zm</w:t>
            </w:r>
            <w:r w:rsidR="00F85919">
              <w:rPr>
                <w:rFonts w:eastAsia="Times New Roman"/>
                <w:sz w:val="15"/>
                <w:szCs w:val="15"/>
                <w:lang w:eastAsia="pl-PL"/>
              </w:rPr>
              <w:t>ianie innych ustaw (Dz. U.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 poz. 983, z późn. zm.), zgodnie z jej aktem założycielskim.</w:t>
            </w:r>
            <w:r w:rsidRPr="00093C32">
              <w:rPr>
                <w:rFonts w:eastAsia="Times New Roman"/>
                <w:color w:val="FF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21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22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14 – nieruchomości lub ich części zajęte na prowadzenie nieodpłatnej statutowej działalności pożytku publicznego przez organizacje pożytku publicznego.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23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2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2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5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  <w:bookmarkEnd w:id="3"/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15 – grunty i budynki lub ich części, stanowiące własność gminy, z wyjątkiem zajętych na działalność gospodarczą lub będących w posiadaniu innych niż gmina jednostek sektora finansów publicznych oraz pozostałych podmiotów.</w:t>
            </w:r>
          </w:p>
        </w:tc>
        <w:tc>
          <w:tcPr>
            <w:tcW w:w="1559" w:type="dxa"/>
            <w:shd w:val="clear" w:color="auto" w:fill="FFFFFF"/>
          </w:tcPr>
          <w:p w:rsidR="00093C32" w:rsidRPr="004753FC" w:rsidRDefault="00093C32" w:rsidP="004753FC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4753FC">
              <w:rPr>
                <w:rFonts w:eastAsia="Times New Roman"/>
                <w:sz w:val="15"/>
                <w:szCs w:val="15"/>
                <w:lang w:eastAsia="pl-PL"/>
              </w:rPr>
              <w:t>2</w:t>
            </w:r>
            <w:r w:rsidR="004753FC" w:rsidRPr="004753FC">
              <w:rPr>
                <w:rFonts w:eastAsia="Times New Roman"/>
                <w:sz w:val="15"/>
                <w:szCs w:val="15"/>
                <w:lang w:eastAsia="pl-PL"/>
              </w:rPr>
              <w:t>6</w:t>
            </w:r>
            <w:r w:rsidRPr="004753FC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FFFFFF"/>
          </w:tcPr>
          <w:p w:rsidR="00093C32" w:rsidRPr="004753FC" w:rsidRDefault="00093C32" w:rsidP="004753FC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42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2 pkt 1 – uczelnie, zwolnienie nie dotyczy przedmiotów opodatkowania zajętych na działalność gospodarczą.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28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spacing w:after="120"/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2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9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2 pkt 2 –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ab/>
              <w:t>publiczne i niepubliczne jednostki organizacyjne objęte systemem oświaty oraz prowadzące je organy, w zakresie nieruchomości zajętych na działalność oświatową.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30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1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A318E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A318E" w:rsidRPr="00093C32" w:rsidRDefault="000A318E" w:rsidP="000A318E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A318E" w:rsidRPr="00093C32" w:rsidRDefault="000A318E" w:rsidP="000A318E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2 pkt 2</w:t>
            </w:r>
            <w:r>
              <w:rPr>
                <w:rFonts w:eastAsia="Times New Roman"/>
                <w:sz w:val="15"/>
                <w:szCs w:val="15"/>
                <w:lang w:eastAsia="pl-PL"/>
              </w:rPr>
              <w:t xml:space="preserve">a - </w:t>
            </w:r>
            <w:r w:rsidRPr="000A318E">
              <w:rPr>
                <w:rFonts w:eastAsia="Times New Roman"/>
                <w:sz w:val="15"/>
                <w:szCs w:val="15"/>
                <w:lang w:eastAsia="pl-PL"/>
              </w:rPr>
              <w:t>żłobki i kluby dziecięce oraz prowadzące je podmioty, w zakresie nieruchomości zajętych na prowadzen</w:t>
            </w:r>
            <w:r>
              <w:rPr>
                <w:rFonts w:eastAsia="Times New Roman"/>
                <w:sz w:val="15"/>
                <w:szCs w:val="15"/>
                <w:lang w:eastAsia="pl-PL"/>
              </w:rPr>
              <w:t>ie żłobka lub klubu dziecięcego.</w:t>
            </w:r>
          </w:p>
        </w:tc>
        <w:tc>
          <w:tcPr>
            <w:tcW w:w="1559" w:type="dxa"/>
            <w:shd w:val="clear" w:color="auto" w:fill="FFFFFF"/>
          </w:tcPr>
          <w:p w:rsidR="000A318E" w:rsidRPr="00093C32" w:rsidRDefault="000A318E" w:rsidP="000A318E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2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A318E" w:rsidRPr="00093C32" w:rsidRDefault="000A318E" w:rsidP="000A318E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A318E" w:rsidRPr="00093C32" w:rsidRDefault="000A318E" w:rsidP="000A318E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A318E" w:rsidRPr="00093C32" w:rsidRDefault="000A318E" w:rsidP="000A318E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A318E" w:rsidRPr="00093C32" w:rsidRDefault="000A318E" w:rsidP="000A318E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A318E" w:rsidRPr="00093C32" w:rsidRDefault="000A318E" w:rsidP="000A318E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2 pkt  3 –  instytuty naukowe i pomocnicze jednostki naukowe Polskiej Akademii Nauk, w odniesieniu do nieruchomości lub ich części, które są niezbędne do realizacji zadań, o których mowa w art. 2 ustawy z dnia 30 kwietnia 2010r. o Polskiej Akademii Nauk (Dz. U. Nr 96, poz.619, z 2011r. Nr 84, poz. 455 oraz z 2013r. poz. 675) zwolnienie nie dotyczy przedmiotów opodatkowania zajętych na działalność gospodarczą.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A318E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5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6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2 pkt  4 – prowadzących zakłady pracy chronionej spełniające warunek, o którym mowa w art. 28 ust. 1 pkt 1 lit. b ustawy z dnia 27 sierpnia 1997 r. o rehabilitacji zawodowej</w:t>
            </w:r>
            <w:r w:rsidR="00F70224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i społecznej oraz zatrudnianiu osób niepełnosprawnych (Dz. U.  z</w:t>
            </w:r>
            <w:r w:rsidR="00F70224">
              <w:rPr>
                <w:rFonts w:eastAsia="Times New Roman"/>
                <w:sz w:val="15"/>
                <w:szCs w:val="15"/>
                <w:lang w:eastAsia="pl-PL"/>
              </w:rPr>
              <w:t xml:space="preserve"> 2016r. poz. 2046 z późn.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zm.), lub zakłady aktywności zawodowej w zakresie przedmiotów opodatkowania zgłoszonych wojewodzie, jeżeli zgłoszenie zostało potwierdzone decyzją w sprawie przyznania statusu zakładu pracy chronionej lub zakładu aktywności zawodowej albo zaświadczeniem – zajętych na prowadzenie tego zakładu, z wyjątkiem przedmiotów opodatkowania znajdujących się w posiadaniu zależnym podmiotów niebędących prowadzącymi zakłady pracy chronionej spełniające warunek, o którym mowa w art. 28 ust. 1 pkt 1 lit. b ustawy z dnia 27 sierpnia 1997 r. o rehabilitacji zawodowej i społecznej oraz zatrudnianiu osób niepełnosprawnych lub zakłady aktywności zawodowej. 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7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8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9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470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2 pkt 5 – instytuty badawcze, z wyjątkiem przedmiotów opodatkowania zajętych na działalność gospodarczą. 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40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A318E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1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2 pkt 5a – przedsiębiorców o statusie centrum badawczo-rozwojowego uzyskanym na zasadach określonych w przepisach          o niektórych formach wspierania działalności innowacyjnej,</w:t>
            </w:r>
            <w:r w:rsidR="002B3595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w odniesieniu do przedmiotów opodatkowania zajętych na cele prowadzonych badań i prac rozwojowych.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A318E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2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A318E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A318E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color w:val="FF0000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3 – rada gminy, w drodze uchwały, może wprowadzić inne zwolnienia przedmiotowe niż określone w ust. 1, oraz w art. 10 ust. 1 ustawy z dnia 2 października 2003r. o zmianie ustawy o specjalnych strefach ekonomicznych i niektórych ustaw.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5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6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7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bookmarkStart w:id="6" w:name="_GoBack"/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bookmarkEnd w:id="6"/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</w:tbl>
    <w:p w:rsidR="00093C32" w:rsidRPr="00093C32" w:rsidRDefault="00093C32" w:rsidP="00093C32">
      <w:pPr>
        <w:ind w:left="0" w:firstLine="0"/>
        <w:rPr>
          <w:rFonts w:eastAsia="Times New Roman" w:cs="Times New Roman"/>
          <w:lang w:eastAsia="pl-PL"/>
        </w:rPr>
      </w:pPr>
    </w:p>
    <w:p w:rsidR="00093C32" w:rsidRPr="00093C32" w:rsidRDefault="00093C32" w:rsidP="00093C32">
      <w:pPr>
        <w:ind w:left="0" w:firstLine="0"/>
        <w:rPr>
          <w:rFonts w:eastAsia="Times New Roman" w:cs="Times New Roman"/>
          <w:lang w:eastAsia="pl-PL"/>
        </w:rPr>
      </w:pPr>
    </w:p>
    <w:p w:rsidR="00093C32" w:rsidRPr="00093C32" w:rsidRDefault="00093C32" w:rsidP="00093C32">
      <w:pPr>
        <w:ind w:left="0" w:firstLine="0"/>
        <w:rPr>
          <w:rFonts w:eastAsia="Times New Roman" w:cs="Times New Roman"/>
          <w:lang w:eastAsia="pl-PL"/>
        </w:rPr>
      </w:pPr>
    </w:p>
    <w:p w:rsidR="00093C32" w:rsidRPr="00093C32" w:rsidRDefault="00093C32" w:rsidP="00093C32">
      <w:pPr>
        <w:ind w:left="0" w:firstLine="0"/>
        <w:rPr>
          <w:rFonts w:eastAsia="Times New Roman" w:cs="Times New Roman"/>
          <w:lang w:eastAsia="pl-PL"/>
        </w:rPr>
      </w:pPr>
    </w:p>
    <w:p w:rsidR="00093C32" w:rsidRPr="00093C32" w:rsidRDefault="00093C32" w:rsidP="00093C32">
      <w:pPr>
        <w:keepNext/>
        <w:ind w:left="0" w:firstLine="0"/>
        <w:outlineLvl w:val="4"/>
        <w:rPr>
          <w:rFonts w:eastAsia="Times New Roman" w:cs="Times New Roman"/>
          <w:b/>
          <w:sz w:val="18"/>
          <w:szCs w:val="18"/>
          <w:lang w:eastAsia="pl-PL"/>
        </w:rPr>
      </w:pPr>
    </w:p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</w:pPr>
    </w:p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  <w:sectPr w:rsidR="00093C32" w:rsidRPr="00093C32" w:rsidSect="00682309">
          <w:footerReference w:type="even" r:id="rId8"/>
          <w:footerReference w:type="default" r:id="rId9"/>
          <w:pgSz w:w="11906" w:h="16838" w:code="9"/>
          <w:pgMar w:top="1418" w:right="1021" w:bottom="1418" w:left="1021" w:header="680" w:footer="680" w:gutter="0"/>
          <w:cols w:space="708"/>
        </w:sectPr>
      </w:pPr>
    </w:p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</w:pPr>
      <w:r w:rsidRPr="00093C32">
        <w:rPr>
          <w:rFonts w:eastAsia="Times New Roman" w:cs="Times New Roman"/>
          <w:sz w:val="16"/>
          <w:lang w:eastAsia="pl-PL"/>
        </w:rPr>
        <w:lastRenderedPageBreak/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  <w:t xml:space="preserve">Załącznik Nr 4 </w:t>
      </w:r>
    </w:p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</w:pP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  <w:t>Do Uchwały Rady Miasta Gorzowa Wlkp.</w:t>
      </w:r>
    </w:p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</w:pP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  <w:t>Nr XXXV/422/2016 z dnia 29 listopada 2016 r.</w:t>
      </w:r>
    </w:p>
    <w:p w:rsidR="00093C32" w:rsidRPr="00093C32" w:rsidRDefault="00093C32" w:rsidP="00093C32">
      <w:pPr>
        <w:ind w:left="0" w:firstLine="0"/>
        <w:rPr>
          <w:rFonts w:eastAsia="Times New Roman" w:cs="Times New Roman"/>
          <w:lang w:eastAsia="pl-PL"/>
        </w:rPr>
      </w:pPr>
    </w:p>
    <w:p w:rsidR="00093C32" w:rsidRPr="00093C32" w:rsidRDefault="00093C32" w:rsidP="00093C32">
      <w:pPr>
        <w:keepNext/>
        <w:ind w:left="0" w:firstLine="0"/>
        <w:jc w:val="center"/>
        <w:outlineLvl w:val="4"/>
        <w:rPr>
          <w:rFonts w:eastAsia="Times New Roman" w:cs="Times New Roman"/>
          <w:b/>
          <w:sz w:val="18"/>
          <w:szCs w:val="18"/>
          <w:lang w:eastAsia="pl-PL"/>
        </w:rPr>
      </w:pPr>
      <w:r w:rsidRPr="00093C32">
        <w:rPr>
          <w:rFonts w:eastAsia="Times New Roman" w:cs="Times New Roman"/>
          <w:b/>
          <w:sz w:val="18"/>
          <w:szCs w:val="18"/>
          <w:lang w:eastAsia="pl-PL"/>
        </w:rPr>
        <w:t xml:space="preserve">         DANE O ZWOLNIENIACH PODATKOWYCH W PODATKU OD NIERUCHOMOŚCI</w:t>
      </w:r>
    </w:p>
    <w:p w:rsidR="00093C32" w:rsidRPr="00093C32" w:rsidRDefault="00093C32" w:rsidP="00093C32">
      <w:pPr>
        <w:keepNext/>
        <w:ind w:left="0" w:firstLine="0"/>
        <w:jc w:val="center"/>
        <w:outlineLvl w:val="4"/>
        <w:rPr>
          <w:rFonts w:eastAsia="Times New Roman" w:cs="Times New Roman"/>
          <w:b/>
          <w:sz w:val="16"/>
          <w:lang w:eastAsia="pl-PL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1080"/>
        <w:gridCol w:w="1620"/>
        <w:gridCol w:w="1800"/>
        <w:gridCol w:w="1440"/>
        <w:gridCol w:w="1180"/>
      </w:tblGrid>
      <w:tr w:rsidR="00093C32" w:rsidRPr="00093C32" w:rsidTr="00682309">
        <w:trPr>
          <w:trHeight w:val="191"/>
        </w:trPr>
        <w:tc>
          <w:tcPr>
            <w:tcW w:w="9790" w:type="dxa"/>
            <w:gridSpan w:val="6"/>
            <w:shd w:val="pct30" w:color="auto" w:fill="auto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t>GRUNTY(*)</w:t>
            </w:r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nr umowy, nr decyzji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, n</w:t>
            </w:r>
            <w:r w:rsidR="00E67E0D"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r KW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E67E0D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Nr geodezyjny – nr działki, obręb</w:t>
            </w:r>
          </w:p>
        </w:tc>
        <w:tc>
          <w:tcPr>
            <w:tcW w:w="180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Forma władania</w:t>
            </w:r>
          </w:p>
        </w:tc>
        <w:tc>
          <w:tcPr>
            <w:tcW w:w="144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Położenie (Adres)</w:t>
            </w:r>
          </w:p>
        </w:tc>
        <w:tc>
          <w:tcPr>
            <w:tcW w:w="118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Powierzchnia (m</w:t>
            </w:r>
            <w:r w:rsidR="00E67E0D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7" w:name="Tekst16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8" w:name="Tekst16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9" w:name="Tekst16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10" w:name="Tekst16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0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11" w:name="Tekst16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1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12" w:name="Tekst17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2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13" w:name="Tekst17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14" w:name="Tekst17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15" w:name="Tekst17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5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16" w:name="Tekst17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6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17" w:name="Tekst17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7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18" w:name="Tekst17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19" w:name="Tekst17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20" w:name="Tekst17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0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21" w:name="Tekst17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1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22" w:name="Tekst18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2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23" w:name="Tekst18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24" w:name="Tekst18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25" w:name="Tekst18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5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26" w:name="Tekst18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6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27" w:name="Tekst18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7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28" w:name="Tekst18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8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29" w:name="Tekst18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30" w:name="Tekst18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0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31" w:name="Tekst18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1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32" w:name="Tekst19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2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33" w:name="Tekst19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3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34" w:name="Tekst19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4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35" w:name="Tekst19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5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36" w:name="Tekst19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6"/>
          </w:p>
        </w:tc>
      </w:tr>
      <w:tr w:rsidR="00093C32" w:rsidRPr="00093C32" w:rsidTr="00682309">
        <w:trPr>
          <w:trHeight w:val="156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37" w:name="Tekst19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7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38" w:name="Tekst19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8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39" w:name="Tekst19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40" w:name="Tekst19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0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41" w:name="Tekst19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1"/>
          </w:p>
        </w:tc>
      </w:tr>
      <w:tr w:rsidR="00093C32" w:rsidRPr="00093C32" w:rsidTr="00682309">
        <w:trPr>
          <w:cantSplit/>
          <w:trHeight w:val="282"/>
        </w:trPr>
        <w:tc>
          <w:tcPr>
            <w:tcW w:w="8610" w:type="dxa"/>
            <w:gridSpan w:val="5"/>
            <w:tcBorders>
              <w:bottom w:val="nil"/>
            </w:tcBorders>
            <w:shd w:val="pct20" w:color="auto" w:fill="auto"/>
          </w:tcPr>
          <w:p w:rsidR="00093C32" w:rsidRPr="00093C32" w:rsidRDefault="00093C32" w:rsidP="00093C32">
            <w:pPr>
              <w:keepNext/>
              <w:ind w:left="0" w:firstLine="0"/>
              <w:jc w:val="center"/>
              <w:outlineLvl w:val="1"/>
              <w:rPr>
                <w:rFonts w:eastAsia="Times New Roman" w:cs="Times New Roman"/>
                <w:b/>
                <w:sz w:val="12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1"/>
              <w:rPr>
                <w:rFonts w:eastAsia="Times New Roman" w:cs="Times New Roman"/>
                <w:b/>
                <w:sz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lang w:eastAsia="pl-PL"/>
              </w:rPr>
              <w:t>OGÓŁEM POWIERZCHNIA</w:t>
            </w:r>
          </w:p>
        </w:tc>
        <w:tc>
          <w:tcPr>
            <w:tcW w:w="118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42" w:name="Tekst20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2"/>
          </w:p>
        </w:tc>
      </w:tr>
      <w:tr w:rsidR="00093C32" w:rsidRPr="00093C32" w:rsidTr="00682309">
        <w:trPr>
          <w:trHeight w:val="191"/>
        </w:trPr>
        <w:tc>
          <w:tcPr>
            <w:tcW w:w="9790" w:type="dxa"/>
            <w:gridSpan w:val="6"/>
            <w:shd w:val="pct30" w:color="auto" w:fill="auto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t>BUDYNKI(*)</w:t>
            </w:r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nr umowy, nr decyzji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E67E0D"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</w:t>
            </w:r>
            <w:r w:rsidR="00E67E0D"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r KW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E67E0D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Nr geodezyjny – nr działki, obręb</w:t>
            </w:r>
          </w:p>
        </w:tc>
        <w:tc>
          <w:tcPr>
            <w:tcW w:w="180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Forma władania</w:t>
            </w:r>
          </w:p>
        </w:tc>
        <w:tc>
          <w:tcPr>
            <w:tcW w:w="144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Położenie (Adres)</w:t>
            </w:r>
          </w:p>
        </w:tc>
        <w:tc>
          <w:tcPr>
            <w:tcW w:w="118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Powierzchnia użytkowa (m</w:t>
            </w:r>
            <w:r w:rsidRPr="00093C32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1"/>
                  <w:enabled/>
                  <w:calcOnExit w:val="0"/>
                  <w:textInput/>
                </w:ffData>
              </w:fldChar>
            </w:r>
            <w:bookmarkStart w:id="43" w:name="Tekst20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3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44" w:name="Tekst20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4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3"/>
                  <w:enabled/>
                  <w:calcOnExit w:val="0"/>
                  <w:textInput/>
                </w:ffData>
              </w:fldChar>
            </w:r>
            <w:bookmarkStart w:id="45" w:name="Tekst20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5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bookmarkStart w:id="46" w:name="Tekst20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6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47" w:name="Tekst20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7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48" w:name="Tekst21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8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49" w:name="Tekst21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9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50" w:name="Tekst21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0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51" w:name="Tekst21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1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52" w:name="Tekst20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2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53" w:name="Tekst22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3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54" w:name="Tekst21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4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55" w:name="Tekst21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5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56" w:name="Tekst21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6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57" w:name="Tekst20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7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58" w:name="Tekst22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8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59" w:name="Tekst22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9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60" w:name="Tekst22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0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61" w:name="Tekst22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1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62" w:name="Tekst20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2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63" w:name="Tekst22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3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64" w:name="Tekst22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4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65" w:name="Tekst22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5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66" w:name="Tekst22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6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67" w:name="Tekst20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7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68" w:name="Tekst22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8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69" w:name="Tekst23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9"/>
          </w:p>
        </w:tc>
        <w:tc>
          <w:tcPr>
            <w:tcW w:w="180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70" w:name="Tekst23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0"/>
          </w:p>
        </w:tc>
        <w:tc>
          <w:tcPr>
            <w:tcW w:w="144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71" w:name="Tekst23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1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72" w:name="Tekst21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2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73" w:name="Tekst23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3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74" w:name="Tekst23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4"/>
          </w:p>
        </w:tc>
        <w:tc>
          <w:tcPr>
            <w:tcW w:w="180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75" w:name="Tekst23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5"/>
          </w:p>
        </w:tc>
        <w:tc>
          <w:tcPr>
            <w:tcW w:w="144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76" w:name="Tekst23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6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77" w:name="Tekst21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7"/>
          </w:p>
        </w:tc>
      </w:tr>
      <w:tr w:rsidR="00093C32" w:rsidRPr="00093C32" w:rsidTr="00682309">
        <w:trPr>
          <w:cantSplit/>
          <w:trHeight w:val="328"/>
        </w:trPr>
        <w:tc>
          <w:tcPr>
            <w:tcW w:w="8610" w:type="dxa"/>
            <w:gridSpan w:val="5"/>
            <w:shd w:val="pct20" w:color="auto" w:fill="auto"/>
          </w:tcPr>
          <w:p w:rsidR="00093C32" w:rsidRPr="00093C32" w:rsidRDefault="00093C32" w:rsidP="00093C32">
            <w:pPr>
              <w:keepNext/>
              <w:ind w:left="0" w:firstLine="0"/>
              <w:jc w:val="center"/>
              <w:outlineLvl w:val="1"/>
              <w:rPr>
                <w:rFonts w:eastAsia="Times New Roman" w:cs="Times New Roman"/>
                <w:b/>
                <w:sz w:val="12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1"/>
              <w:rPr>
                <w:rFonts w:eastAsia="Times New Roman" w:cs="Times New Roman"/>
                <w:b/>
                <w:sz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lang w:eastAsia="pl-PL"/>
              </w:rPr>
              <w:t>OGÓŁEM POWIERZCHNIA</w:t>
            </w:r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78" w:name="Tekst21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8"/>
          </w:p>
        </w:tc>
      </w:tr>
      <w:tr w:rsidR="00093C32" w:rsidRPr="00093C32" w:rsidTr="00682309">
        <w:trPr>
          <w:trHeight w:val="191"/>
        </w:trPr>
        <w:tc>
          <w:tcPr>
            <w:tcW w:w="9790" w:type="dxa"/>
            <w:gridSpan w:val="6"/>
            <w:shd w:val="pct30" w:color="auto" w:fill="auto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t>BUDOWLE(*)</w:t>
            </w:r>
          </w:p>
        </w:tc>
      </w:tr>
      <w:tr w:rsidR="00093C32" w:rsidRPr="00093C32" w:rsidTr="00682309">
        <w:trPr>
          <w:cantSplit/>
          <w:trHeight w:val="452"/>
        </w:trPr>
        <w:tc>
          <w:tcPr>
            <w:tcW w:w="375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5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342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5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Nazwa budowli</w:t>
            </w:r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5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Położenie (Adres)</w:t>
            </w:r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5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Wartość (zł)</w:t>
            </w:r>
          </w:p>
        </w:tc>
      </w:tr>
      <w:tr w:rsidR="00093C32" w:rsidRPr="00093C32" w:rsidTr="00682309">
        <w:trPr>
          <w:cantSplit/>
          <w:trHeight w:val="381"/>
        </w:trPr>
        <w:tc>
          <w:tcPr>
            <w:tcW w:w="375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79" w:name="Tekst23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9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42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80" w:name="Tekst23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0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81" w:name="Tekst23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1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82" w:name="Tekst24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2"/>
          </w:p>
        </w:tc>
      </w:tr>
      <w:tr w:rsidR="00093C32" w:rsidRPr="00093C32" w:rsidTr="00682309">
        <w:trPr>
          <w:cantSplit/>
          <w:trHeight w:val="381"/>
        </w:trPr>
        <w:tc>
          <w:tcPr>
            <w:tcW w:w="375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83" w:name="Tekst24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3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42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84" w:name="Tekst24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4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3"/>
                  <w:enabled/>
                  <w:calcOnExit w:val="0"/>
                  <w:textInput/>
                </w:ffData>
              </w:fldChar>
            </w:r>
            <w:bookmarkStart w:id="85" w:name="Tekst24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5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bookmarkStart w:id="86" w:name="Tekst24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6"/>
          </w:p>
        </w:tc>
      </w:tr>
      <w:tr w:rsidR="00093C32" w:rsidRPr="00093C32" w:rsidTr="00682309">
        <w:trPr>
          <w:cantSplit/>
          <w:trHeight w:val="381"/>
        </w:trPr>
        <w:tc>
          <w:tcPr>
            <w:tcW w:w="375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87" w:name="Tekst24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7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42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88" w:name="Tekst24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8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89" w:name="Tekst24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9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90" w:name="Tekst24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0"/>
          </w:p>
        </w:tc>
      </w:tr>
      <w:tr w:rsidR="00093C32" w:rsidRPr="00093C32" w:rsidTr="00682309">
        <w:trPr>
          <w:cantSplit/>
          <w:trHeight w:val="381"/>
        </w:trPr>
        <w:tc>
          <w:tcPr>
            <w:tcW w:w="3750" w:type="dxa"/>
            <w:gridSpan w:val="2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91" w:name="Tekst24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1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92" w:name="Tekst25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2"/>
          </w:p>
        </w:tc>
        <w:tc>
          <w:tcPr>
            <w:tcW w:w="144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51"/>
                  <w:enabled/>
                  <w:calcOnExit w:val="0"/>
                  <w:textInput/>
                </w:ffData>
              </w:fldChar>
            </w:r>
            <w:bookmarkStart w:id="93" w:name="Tekst25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3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52"/>
                  <w:enabled/>
                  <w:calcOnExit w:val="0"/>
                  <w:textInput/>
                </w:ffData>
              </w:fldChar>
            </w:r>
            <w:bookmarkStart w:id="94" w:name="Tekst25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4"/>
          </w:p>
        </w:tc>
      </w:tr>
      <w:tr w:rsidR="00093C32" w:rsidRPr="00093C32" w:rsidTr="00682309">
        <w:trPr>
          <w:cantSplit/>
          <w:trHeight w:val="223"/>
        </w:trPr>
        <w:tc>
          <w:tcPr>
            <w:tcW w:w="8610" w:type="dxa"/>
            <w:gridSpan w:val="5"/>
            <w:shd w:val="pct20" w:color="auto" w:fill="auto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2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1"/>
              <w:rPr>
                <w:rFonts w:eastAsia="Times New Roman" w:cs="Times New Roman"/>
                <w:b/>
                <w:sz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lang w:eastAsia="pl-PL"/>
              </w:rPr>
              <w:t>OGÓŁEM WARTOŚĆ</w:t>
            </w:r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53"/>
                  <w:enabled/>
                  <w:calcOnExit w:val="0"/>
                  <w:textInput/>
                </w:ffData>
              </w:fldChar>
            </w:r>
            <w:bookmarkStart w:id="95" w:name="Tekst25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5"/>
          </w:p>
        </w:tc>
      </w:tr>
    </w:tbl>
    <w:p w:rsidR="00093C32" w:rsidRDefault="00093C32" w:rsidP="00093C32">
      <w:pPr>
        <w:ind w:left="0" w:firstLine="0"/>
        <w:jc w:val="both"/>
        <w:rPr>
          <w:rFonts w:eastAsia="Times New Roman" w:cs="Times New Roman"/>
          <w:sz w:val="14"/>
          <w:szCs w:val="14"/>
          <w:lang w:eastAsia="pl-PL"/>
        </w:rPr>
      </w:pPr>
      <w:r w:rsidRPr="00093C32">
        <w:rPr>
          <w:rFonts w:eastAsia="Times New Roman" w:cs="Times New Roman"/>
          <w:sz w:val="14"/>
          <w:szCs w:val="14"/>
          <w:lang w:eastAsia="pl-PL"/>
        </w:rPr>
        <w:t xml:space="preserve">          * W razie większej liczby nieruchomości załączyć odrębny wykaz wg ustalonego wzoru</w:t>
      </w:r>
    </w:p>
    <w:p w:rsidR="00E67E0D" w:rsidRPr="00034A54" w:rsidRDefault="00E67E0D" w:rsidP="00E67E0D">
      <w:pPr>
        <w:spacing w:before="20"/>
        <w:ind w:left="0" w:firstLine="0"/>
        <w:rPr>
          <w:rFonts w:eastAsia="Times New Roman" w:cs="Times New Roman"/>
          <w:sz w:val="14"/>
          <w:szCs w:val="14"/>
          <w:lang w:eastAsia="pl-PL"/>
        </w:rPr>
      </w:pPr>
      <w:bookmarkStart w:id="96" w:name="_Hlk498590843"/>
      <w:r w:rsidRPr="00034A54">
        <w:rPr>
          <w:rFonts w:eastAsia="Times New Roman" w:cs="Times New Roman"/>
          <w:sz w:val="14"/>
          <w:szCs w:val="14"/>
          <w:lang w:eastAsia="pl-PL"/>
        </w:rPr>
        <w:t xml:space="preserve">           </w:t>
      </w:r>
      <w:r w:rsidRPr="00034A54">
        <w:rPr>
          <w:rFonts w:eastAsia="Times New Roman" w:cs="Times New Roman"/>
          <w:sz w:val="14"/>
          <w:szCs w:val="14"/>
          <w:vertAlign w:val="superscript"/>
          <w:lang w:eastAsia="pl-PL"/>
        </w:rPr>
        <w:t>1</w:t>
      </w:r>
      <w:r w:rsidRPr="00034A54">
        <w:rPr>
          <w:rFonts w:eastAsia="Times New Roman" w:cs="Times New Roman"/>
          <w:sz w:val="14"/>
          <w:szCs w:val="14"/>
          <w:lang w:eastAsia="pl-PL"/>
        </w:rPr>
        <w:t xml:space="preserve"> informacja nieobowiązkowa</w:t>
      </w:r>
    </w:p>
    <w:bookmarkEnd w:id="96"/>
    <w:p w:rsidR="00093C32" w:rsidRPr="00093C32" w:rsidRDefault="00093C32" w:rsidP="00093C32">
      <w:pPr>
        <w:ind w:left="0" w:firstLine="0"/>
        <w:rPr>
          <w:rFonts w:eastAsia="Times New Roman" w:cs="Times New Roman"/>
          <w:lang w:eastAsia="pl-PL"/>
        </w:rPr>
      </w:pPr>
    </w:p>
    <w:p w:rsidR="00093C32" w:rsidRPr="00093C32" w:rsidRDefault="00093C32" w:rsidP="00093C32">
      <w:pPr>
        <w:ind w:left="0" w:firstLine="0"/>
        <w:rPr>
          <w:rFonts w:eastAsia="Times New Roman" w:cs="Times New Roman"/>
          <w:lang w:eastAsia="pl-PL"/>
        </w:rPr>
      </w:pPr>
    </w:p>
    <w:p w:rsidR="00093C32" w:rsidRPr="00093C32" w:rsidRDefault="00093C32" w:rsidP="00093C32">
      <w:pPr>
        <w:keepNext/>
        <w:tabs>
          <w:tab w:val="left" w:leader="underscore" w:pos="3780"/>
        </w:tabs>
        <w:ind w:left="0" w:firstLine="0"/>
        <w:jc w:val="right"/>
        <w:outlineLvl w:val="4"/>
        <w:rPr>
          <w:rFonts w:eastAsia="Times New Roman" w:cs="Times New Roman"/>
          <w:b/>
          <w:sz w:val="18"/>
          <w:lang w:eastAsia="pl-PL"/>
        </w:rPr>
      </w:pPr>
      <w:r w:rsidRPr="00093C32">
        <w:rPr>
          <w:rFonts w:eastAsia="Times New Roman" w:cs="Times New Roman"/>
          <w:b/>
          <w:lang w:eastAsia="pl-PL"/>
        </w:rPr>
        <w:tab/>
      </w:r>
    </w:p>
    <w:p w:rsidR="00093C32" w:rsidRPr="00093C32" w:rsidRDefault="00093C32" w:rsidP="00093C32">
      <w:pPr>
        <w:keepNext/>
        <w:ind w:left="0" w:firstLine="0"/>
        <w:jc w:val="right"/>
        <w:outlineLvl w:val="6"/>
        <w:rPr>
          <w:rFonts w:eastAsia="Times New Roman" w:cs="Times New Roman"/>
          <w:i/>
          <w:sz w:val="12"/>
          <w:lang w:eastAsia="pl-PL"/>
        </w:rPr>
      </w:pPr>
      <w:r w:rsidRPr="00093C32">
        <w:rPr>
          <w:rFonts w:eastAsia="Times New Roman" w:cs="Times New Roman"/>
          <w:i/>
          <w:sz w:val="12"/>
          <w:lang w:eastAsia="pl-PL"/>
        </w:rPr>
        <w:t>Pieczęć podatnika/podpis podatnika /osoby reprezentującej podatnika</w:t>
      </w:r>
    </w:p>
    <w:p w:rsidR="006E2A84" w:rsidRDefault="006E2A84"/>
    <w:sectPr w:rsidR="006E2A84" w:rsidSect="00682309">
      <w:pgSz w:w="11906" w:h="16838" w:code="9"/>
      <w:pgMar w:top="1418" w:right="737" w:bottom="1418" w:left="680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83" w:rsidRDefault="00C23D83">
      <w:r>
        <w:separator/>
      </w:r>
    </w:p>
  </w:endnote>
  <w:endnote w:type="continuationSeparator" w:id="0">
    <w:p w:rsidR="00C23D83" w:rsidRDefault="00C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09" w:rsidRDefault="00682309" w:rsidP="0068230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309" w:rsidRDefault="00682309" w:rsidP="006823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09" w:rsidRPr="00D31DCF" w:rsidRDefault="00682309" w:rsidP="00682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83" w:rsidRDefault="00C23D83">
      <w:r>
        <w:separator/>
      </w:r>
    </w:p>
  </w:footnote>
  <w:footnote w:type="continuationSeparator" w:id="0">
    <w:p w:rsidR="00C23D83" w:rsidRDefault="00C2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C2F"/>
    <w:multiLevelType w:val="multilevel"/>
    <w:tmpl w:val="124C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050D1A"/>
    <w:multiLevelType w:val="singleLevel"/>
    <w:tmpl w:val="E30C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4E01E3"/>
    <w:multiLevelType w:val="hybridMultilevel"/>
    <w:tmpl w:val="F054844C"/>
    <w:lvl w:ilvl="0" w:tplc="AAA633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948B6"/>
    <w:multiLevelType w:val="hybridMultilevel"/>
    <w:tmpl w:val="46CC687E"/>
    <w:lvl w:ilvl="0" w:tplc="52B44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60EA"/>
    <w:multiLevelType w:val="multilevel"/>
    <w:tmpl w:val="5CE66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CA4043"/>
    <w:multiLevelType w:val="multilevel"/>
    <w:tmpl w:val="5A00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6F1706"/>
    <w:multiLevelType w:val="hybridMultilevel"/>
    <w:tmpl w:val="D1487240"/>
    <w:lvl w:ilvl="0" w:tplc="52B44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7F50"/>
    <w:multiLevelType w:val="multilevel"/>
    <w:tmpl w:val="7E526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6D598D"/>
    <w:multiLevelType w:val="hybridMultilevel"/>
    <w:tmpl w:val="C88E8A28"/>
    <w:lvl w:ilvl="0" w:tplc="FFFFFFFF">
      <w:start w:val="1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855C0"/>
    <w:multiLevelType w:val="multilevel"/>
    <w:tmpl w:val="D06E9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DB3C49"/>
    <w:multiLevelType w:val="hybridMultilevel"/>
    <w:tmpl w:val="680066AE"/>
    <w:lvl w:ilvl="0" w:tplc="8528E8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63716"/>
    <w:multiLevelType w:val="multilevel"/>
    <w:tmpl w:val="5A00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F91EA9"/>
    <w:multiLevelType w:val="multilevel"/>
    <w:tmpl w:val="3FD09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C52D5D"/>
    <w:multiLevelType w:val="hybridMultilevel"/>
    <w:tmpl w:val="25B02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285ED0"/>
    <w:multiLevelType w:val="singleLevel"/>
    <w:tmpl w:val="2E3AD7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F8629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6D41CD"/>
    <w:multiLevelType w:val="hybridMultilevel"/>
    <w:tmpl w:val="0B4E22E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B01D7"/>
    <w:multiLevelType w:val="hybridMultilevel"/>
    <w:tmpl w:val="7E526C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882CC7"/>
    <w:multiLevelType w:val="multilevel"/>
    <w:tmpl w:val="E370D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DE18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090363"/>
    <w:multiLevelType w:val="multilevel"/>
    <w:tmpl w:val="F46445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74178"/>
    <w:multiLevelType w:val="hybridMultilevel"/>
    <w:tmpl w:val="E51A9A52"/>
    <w:lvl w:ilvl="0" w:tplc="761C8F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7218A"/>
    <w:multiLevelType w:val="singleLevel"/>
    <w:tmpl w:val="A7A840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936D15"/>
    <w:multiLevelType w:val="hybridMultilevel"/>
    <w:tmpl w:val="C7F45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65676"/>
    <w:multiLevelType w:val="multilevel"/>
    <w:tmpl w:val="FFCE0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5B5B6E"/>
    <w:multiLevelType w:val="hybridMultilevel"/>
    <w:tmpl w:val="BC1CF104"/>
    <w:lvl w:ilvl="0" w:tplc="52B44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3722C"/>
    <w:multiLevelType w:val="hybridMultilevel"/>
    <w:tmpl w:val="C36474BA"/>
    <w:lvl w:ilvl="0" w:tplc="EB44485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27466"/>
    <w:multiLevelType w:val="multilevel"/>
    <w:tmpl w:val="5A00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16"/>
  </w:num>
  <w:num w:numId="5">
    <w:abstractNumId w:val="8"/>
  </w:num>
  <w:num w:numId="6">
    <w:abstractNumId w:val="19"/>
  </w:num>
  <w:num w:numId="7">
    <w:abstractNumId w:val="15"/>
  </w:num>
  <w:num w:numId="8">
    <w:abstractNumId w:val="20"/>
  </w:num>
  <w:num w:numId="9">
    <w:abstractNumId w:val="13"/>
  </w:num>
  <w:num w:numId="10">
    <w:abstractNumId w:val="12"/>
  </w:num>
  <w:num w:numId="11">
    <w:abstractNumId w:val="24"/>
  </w:num>
  <w:num w:numId="12">
    <w:abstractNumId w:val="5"/>
  </w:num>
  <w:num w:numId="13">
    <w:abstractNumId w:val="27"/>
  </w:num>
  <w:num w:numId="14">
    <w:abstractNumId w:val="11"/>
  </w:num>
  <w:num w:numId="15">
    <w:abstractNumId w:val="4"/>
  </w:num>
  <w:num w:numId="16">
    <w:abstractNumId w:val="17"/>
  </w:num>
  <w:num w:numId="17">
    <w:abstractNumId w:val="7"/>
  </w:num>
  <w:num w:numId="18">
    <w:abstractNumId w:val="9"/>
  </w:num>
  <w:num w:numId="19">
    <w:abstractNumId w:val="18"/>
  </w:num>
  <w:num w:numId="20">
    <w:abstractNumId w:val="0"/>
  </w:num>
  <w:num w:numId="21">
    <w:abstractNumId w:val="10"/>
  </w:num>
  <w:num w:numId="22">
    <w:abstractNumId w:val="23"/>
  </w:num>
  <w:num w:numId="23">
    <w:abstractNumId w:val="21"/>
  </w:num>
  <w:num w:numId="24">
    <w:abstractNumId w:val="2"/>
  </w:num>
  <w:num w:numId="25">
    <w:abstractNumId w:val="6"/>
  </w:num>
  <w:num w:numId="26">
    <w:abstractNumId w:val="25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 w:cryptProviderType="rsaAES" w:cryptAlgorithmClass="hash" w:cryptAlgorithmType="typeAny" w:cryptAlgorithmSid="14" w:cryptSpinCount="100000" w:hash="j+rWoNOR7KEK5T2osO1ByW4IKuZL+pNn2IBuVZzt4mWvBZrH53jqnms5EuohhPJxGku0xnVdC5bigJmkdUTxGQ==" w:salt="3SJFUbIKVlS4YMkUf3ks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32"/>
    <w:rsid w:val="00034A54"/>
    <w:rsid w:val="00041DB3"/>
    <w:rsid w:val="00093C32"/>
    <w:rsid w:val="000A318E"/>
    <w:rsid w:val="000C2595"/>
    <w:rsid w:val="001365A1"/>
    <w:rsid w:val="002567B1"/>
    <w:rsid w:val="002B3595"/>
    <w:rsid w:val="003D3397"/>
    <w:rsid w:val="004753FC"/>
    <w:rsid w:val="00682309"/>
    <w:rsid w:val="006C1A02"/>
    <w:rsid w:val="006E2A84"/>
    <w:rsid w:val="00833EF7"/>
    <w:rsid w:val="00AD3F4E"/>
    <w:rsid w:val="00C22946"/>
    <w:rsid w:val="00C23D83"/>
    <w:rsid w:val="00DC0A5F"/>
    <w:rsid w:val="00E67E0D"/>
    <w:rsid w:val="00F620FC"/>
    <w:rsid w:val="00F70224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4D6A"/>
  <w15:chartTrackingRefBased/>
  <w15:docId w15:val="{9E130E6D-2336-4EB3-986A-C4EE3C82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3C32"/>
    <w:pPr>
      <w:keepNext/>
      <w:ind w:left="0" w:firstLine="0"/>
      <w:outlineLvl w:val="0"/>
    </w:pPr>
    <w:rPr>
      <w:rFonts w:eastAsia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3C32"/>
    <w:pPr>
      <w:keepNext/>
      <w:ind w:left="0" w:firstLine="0"/>
      <w:jc w:val="center"/>
      <w:outlineLvl w:val="1"/>
    </w:pPr>
    <w:rPr>
      <w:rFonts w:eastAsia="Times New Roman" w:cs="Times New Roman"/>
      <w:b/>
      <w:sz w:val="1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93C32"/>
    <w:pPr>
      <w:keepNext/>
      <w:ind w:left="0" w:firstLine="0"/>
      <w:jc w:val="center"/>
      <w:outlineLvl w:val="2"/>
    </w:pPr>
    <w:rPr>
      <w:rFonts w:eastAsia="Times New Roman" w:cs="Times New Roman"/>
      <w:sz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93C32"/>
    <w:pPr>
      <w:keepNext/>
      <w:ind w:left="0" w:firstLine="0"/>
      <w:outlineLvl w:val="3"/>
    </w:pPr>
    <w:rPr>
      <w:rFonts w:eastAsia="Times New Roman" w:cs="Times New Roman"/>
      <w:b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93C32"/>
    <w:pPr>
      <w:keepNext/>
      <w:ind w:left="0" w:firstLine="0"/>
      <w:jc w:val="both"/>
      <w:outlineLvl w:val="4"/>
    </w:pPr>
    <w:rPr>
      <w:rFonts w:eastAsia="Times New Roman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3C32"/>
    <w:pPr>
      <w:keepNext/>
      <w:ind w:left="0" w:firstLine="0"/>
      <w:jc w:val="center"/>
      <w:outlineLvl w:val="5"/>
    </w:pPr>
    <w:rPr>
      <w:rFonts w:eastAsia="Times New Roman" w:cs="Times New Roman"/>
      <w:b/>
      <w:sz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3C32"/>
    <w:pPr>
      <w:keepNext/>
      <w:ind w:left="0" w:firstLine="7655"/>
      <w:outlineLvl w:val="6"/>
    </w:pPr>
    <w:rPr>
      <w:rFonts w:eastAsia="Times New Roman" w:cs="Times New Roman"/>
      <w:i/>
      <w:sz w:val="1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3C32"/>
    <w:rPr>
      <w:rFonts w:eastAsia="Times New Roman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3C32"/>
    <w:rPr>
      <w:rFonts w:eastAsia="Times New Roman" w:cs="Times New Roman"/>
      <w:b/>
      <w:sz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093C32"/>
    <w:rPr>
      <w:rFonts w:eastAsia="Times New Roman" w:cs="Times New Roman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C32"/>
    <w:rPr>
      <w:rFonts w:eastAsia="Times New Roman" w:cs="Times New Roman"/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093C32"/>
    <w:rPr>
      <w:rFonts w:eastAsia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093C32"/>
    <w:rPr>
      <w:rFonts w:eastAsia="Times New Roman" w:cs="Times New Roman"/>
      <w:b/>
      <w:sz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093C32"/>
    <w:rPr>
      <w:rFonts w:eastAsia="Times New Roman" w:cs="Times New Roman"/>
      <w:i/>
      <w:sz w:val="12"/>
      <w:lang w:eastAsia="pl-PL"/>
    </w:rPr>
  </w:style>
  <w:style w:type="numbering" w:customStyle="1" w:styleId="Bezlisty1">
    <w:name w:val="Bez listy1"/>
    <w:next w:val="Bezlisty"/>
    <w:semiHidden/>
    <w:rsid w:val="00093C32"/>
  </w:style>
  <w:style w:type="paragraph" w:styleId="Stopka">
    <w:name w:val="footer"/>
    <w:basedOn w:val="Normalny"/>
    <w:link w:val="StopkaZnak"/>
    <w:rsid w:val="00093C32"/>
    <w:pPr>
      <w:tabs>
        <w:tab w:val="center" w:pos="4536"/>
        <w:tab w:val="right" w:pos="9072"/>
      </w:tabs>
      <w:ind w:left="0" w:firstLine="0"/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093C32"/>
    <w:rPr>
      <w:rFonts w:eastAsia="Times New Roman" w:cs="Times New Roman"/>
      <w:lang w:eastAsia="pl-PL"/>
    </w:rPr>
  </w:style>
  <w:style w:type="paragraph" w:customStyle="1" w:styleId="Tytul">
    <w:name w:val="Tytul"/>
    <w:basedOn w:val="Normalny"/>
    <w:rsid w:val="00093C32"/>
    <w:pPr>
      <w:ind w:left="0" w:firstLine="0"/>
    </w:pPr>
    <w:rPr>
      <w:rFonts w:eastAsia="Times New Roman" w:cs="Times New Roman"/>
      <w:caps/>
      <w:lang w:eastAsia="pl-PL"/>
    </w:rPr>
  </w:style>
  <w:style w:type="paragraph" w:customStyle="1" w:styleId="opis">
    <w:name w:val="opis"/>
    <w:basedOn w:val="Normalny"/>
    <w:rsid w:val="00093C32"/>
    <w:pPr>
      <w:ind w:left="0" w:firstLine="0"/>
    </w:pPr>
    <w:rPr>
      <w:rFonts w:eastAsia="Times New Roman" w:cs="Times New Roman"/>
      <w:sz w:val="18"/>
      <w:lang w:eastAsia="pl-PL"/>
    </w:rPr>
  </w:style>
  <w:style w:type="paragraph" w:customStyle="1" w:styleId="Tytul2">
    <w:name w:val="Tytul_2"/>
    <w:basedOn w:val="Tytul"/>
    <w:rsid w:val="00093C32"/>
    <w:rPr>
      <w:caps w:val="0"/>
      <w:sz w:val="18"/>
    </w:rPr>
  </w:style>
  <w:style w:type="character" w:styleId="Numerstrony">
    <w:name w:val="page number"/>
    <w:basedOn w:val="Domylnaczcionkaakapitu"/>
    <w:rsid w:val="00093C32"/>
  </w:style>
  <w:style w:type="paragraph" w:styleId="Nagwek">
    <w:name w:val="header"/>
    <w:basedOn w:val="Normalny"/>
    <w:link w:val="NagwekZnak"/>
    <w:rsid w:val="00093C32"/>
    <w:pPr>
      <w:tabs>
        <w:tab w:val="center" w:pos="4536"/>
        <w:tab w:val="right" w:pos="9072"/>
      </w:tabs>
      <w:ind w:left="0" w:firstLine="0"/>
    </w:pPr>
    <w:rPr>
      <w:rFonts w:eastAsia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093C32"/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093C32"/>
    <w:pPr>
      <w:ind w:left="0" w:firstLine="0"/>
    </w:pPr>
    <w:rPr>
      <w:rFonts w:eastAsia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3C32"/>
    <w:rPr>
      <w:rFonts w:eastAsia="Times New Roman" w:cs="Times New Roman"/>
      <w:b/>
      <w:lang w:eastAsia="pl-PL"/>
    </w:rPr>
  </w:style>
  <w:style w:type="paragraph" w:styleId="Tekstpodstawowy2">
    <w:name w:val="Body Text 2"/>
    <w:basedOn w:val="Normalny"/>
    <w:link w:val="Tekstpodstawowy2Znak"/>
    <w:rsid w:val="00093C32"/>
    <w:pPr>
      <w:ind w:left="0" w:firstLine="0"/>
      <w:jc w:val="both"/>
    </w:pPr>
    <w:rPr>
      <w:rFonts w:eastAsia="Times New Roman" w:cs="Times New Roman"/>
      <w:sz w:val="1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3C32"/>
    <w:rPr>
      <w:rFonts w:eastAsia="Times New Roman" w:cs="Times New Roman"/>
      <w:sz w:val="14"/>
      <w:lang w:eastAsia="pl-PL"/>
    </w:rPr>
  </w:style>
  <w:style w:type="character" w:customStyle="1" w:styleId="txt-new">
    <w:name w:val="txt-new"/>
    <w:basedOn w:val="Domylnaczcionkaakapitu"/>
    <w:rsid w:val="00093C32"/>
  </w:style>
  <w:style w:type="character" w:styleId="Hipercze">
    <w:name w:val="Hyperlink"/>
    <w:basedOn w:val="Domylnaczcionkaakapitu"/>
    <w:rsid w:val="00093C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E10E-F843-4E3A-A0EE-A3A1A49D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Przybył Sapkowska</dc:creator>
  <cp:keywords/>
  <dc:description/>
  <cp:lastModifiedBy>Anna Alicja Jaworska</cp:lastModifiedBy>
  <cp:revision>5</cp:revision>
  <dcterms:created xsi:type="dcterms:W3CDTF">2017-11-17T12:19:00Z</dcterms:created>
  <dcterms:modified xsi:type="dcterms:W3CDTF">2017-12-05T14:23:00Z</dcterms:modified>
</cp:coreProperties>
</file>